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6A2E7">
      <w:pPr>
        <w:ind w:firstLine="640"/>
        <w:rPr>
          <w:rFonts w:ascii="Times New Roman" w:hAnsi="Times New Roman" w:cs="Times New Roman"/>
          <w:color w:val="000000" w:themeColor="text1"/>
          <w14:textFill>
            <w14:solidFill>
              <w14:schemeClr w14:val="tx1"/>
            </w14:solidFill>
          </w14:textFill>
        </w:rPr>
      </w:pPr>
      <w:bookmarkStart w:id="0" w:name="_Toc509933846"/>
      <w:bookmarkStart w:id="1" w:name="_Toc89184726"/>
      <w:bookmarkStart w:id="2" w:name="_Toc510534525"/>
      <w:r>
        <w:rPr>
          <w:rFonts w:hint="eastAsia" w:ascii="Calibri" w:hAnsi="Calibri" w:cs="Times New Roman"/>
          <w:color w:val="000000" w:themeColor="text1"/>
          <w:sz w:val="32"/>
          <w:szCs w:val="32"/>
          <w14:textFill>
            <w14:solidFill>
              <w14:schemeClr w14:val="tx1"/>
            </w14:solidFill>
          </w14:textFill>
        </w:rPr>
        <w:drawing>
          <wp:anchor distT="0" distB="0" distL="114300" distR="114300" simplePos="0" relativeHeight="251660288" behindDoc="1" locked="0" layoutInCell="1" allowOverlap="1">
            <wp:simplePos x="0" y="0"/>
            <wp:positionH relativeFrom="column">
              <wp:posOffset>3980180</wp:posOffset>
            </wp:positionH>
            <wp:positionV relativeFrom="paragraph">
              <wp:posOffset>-116840</wp:posOffset>
            </wp:positionV>
            <wp:extent cx="1222375" cy="1228090"/>
            <wp:effectExtent l="0" t="0" r="15875" b="10160"/>
            <wp:wrapNone/>
            <wp:docPr id="8" name="图片 8" descr="8f09e43bd50f977b2379762de92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f09e43bd50f977b2379762de924035"/>
                    <pic:cNvPicPr>
                      <a:picLocks noChangeAspect="1"/>
                    </pic:cNvPicPr>
                  </pic:nvPicPr>
                  <pic:blipFill>
                    <a:blip r:embed="rId16"/>
                    <a:stretch>
                      <a:fillRect/>
                    </a:stretch>
                  </pic:blipFill>
                  <pic:spPr>
                    <a:xfrm>
                      <a:off x="0" y="0"/>
                      <a:ext cx="1222375" cy="1228090"/>
                    </a:xfrm>
                    <a:prstGeom prst="ellipse">
                      <a:avLst/>
                    </a:prstGeom>
                  </pic:spPr>
                </pic:pic>
              </a:graphicData>
            </a:graphic>
          </wp:anchor>
        </w:drawing>
      </w:r>
      <w:r>
        <w:rPr>
          <w:rFonts w:ascii="Times New Roman" w:hAnsi="Times New Roman" w:cs="Times New Roman"/>
          <w:color w:val="000000" w:themeColor="text1"/>
          <w:spacing w:val="10"/>
          <w14:textFill>
            <w14:solidFill>
              <w14:schemeClr w14:val="tx1"/>
            </w14:solidFill>
          </w14:textFill>
        </w:rPr>
        <w:drawing>
          <wp:anchor distT="0" distB="0" distL="114300" distR="114300" simplePos="0" relativeHeight="251659264" behindDoc="1" locked="0" layoutInCell="1" allowOverlap="1">
            <wp:simplePos x="0" y="0"/>
            <wp:positionH relativeFrom="column">
              <wp:posOffset>3997960</wp:posOffset>
            </wp:positionH>
            <wp:positionV relativeFrom="paragraph">
              <wp:posOffset>-5586730</wp:posOffset>
            </wp:positionV>
            <wp:extent cx="1233170" cy="1196340"/>
            <wp:effectExtent l="0" t="0" r="5080"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3170" cy="1196340"/>
                    </a:xfrm>
                    <a:prstGeom prst="rect">
                      <a:avLst/>
                    </a:prstGeom>
                    <a:noFill/>
                    <a:ln>
                      <a:noFill/>
                    </a:ln>
                  </pic:spPr>
                </pic:pic>
              </a:graphicData>
            </a:graphic>
          </wp:anchor>
        </w:drawing>
      </w:r>
      <w:r>
        <w:rPr>
          <w:rFonts w:hint="eastAsia" w:ascii="Times New Roman" w:hAnsi="Times New Roman" w:cs="Times New Roman"/>
          <w:color w:val="000000" w:themeColor="text1"/>
          <w14:textFill>
            <w14:solidFill>
              <w14:schemeClr w14:val="tx1"/>
            </w14:solidFill>
          </w14:textFill>
        </w:rPr>
        <w:t xml:space="preserve"> </w:t>
      </w:r>
    </w:p>
    <w:p w14:paraId="11344ACB">
      <w:pPr>
        <w:ind w:firstLine="420"/>
        <w:rPr>
          <w:rFonts w:ascii="Times New Roman" w:hAnsi="Times New Roman" w:cs="Times New Roman"/>
          <w:color w:val="000000" w:themeColor="text1"/>
          <w14:textFill>
            <w14:solidFill>
              <w14:schemeClr w14:val="tx1"/>
            </w14:solidFill>
          </w14:textFill>
        </w:rPr>
      </w:pPr>
    </w:p>
    <w:p w14:paraId="1E25FD2E">
      <w:pPr>
        <w:spacing w:line="240" w:lineRule="auto"/>
        <w:ind w:firstLine="0" w:firstLineChars="0"/>
        <w:rPr>
          <w:rFonts w:ascii="Calibri" w:hAnsi="Calibri" w:cs="Times New Roman"/>
          <w:color w:val="000000" w:themeColor="text1"/>
          <w14:textFill>
            <w14:solidFill>
              <w14:schemeClr w14:val="tx1"/>
            </w14:solidFill>
          </w14:textFill>
        </w:rPr>
      </w:pPr>
    </w:p>
    <w:p w14:paraId="326E805D">
      <w:pPr>
        <w:spacing w:line="240" w:lineRule="auto"/>
        <w:ind w:firstLine="0" w:firstLineChars="0"/>
        <w:rPr>
          <w:rFonts w:ascii="Calibri" w:hAnsi="Calibri" w:cs="Times New Roman"/>
          <w:color w:val="000000" w:themeColor="text1"/>
          <w14:textFill>
            <w14:solidFill>
              <w14:schemeClr w14:val="tx1"/>
            </w14:solidFill>
          </w14:textFill>
        </w:rPr>
      </w:pPr>
    </w:p>
    <w:p w14:paraId="543F4188">
      <w:pPr>
        <w:spacing w:line="240" w:lineRule="auto"/>
        <w:ind w:firstLine="0" w:firstLineChars="0"/>
        <w:rPr>
          <w:rFonts w:ascii="Calibri" w:hAnsi="Calibri" w:cs="Times New Roman"/>
          <w:color w:val="000000" w:themeColor="text1"/>
          <w14:textFill>
            <w14:solidFill>
              <w14:schemeClr w14:val="tx1"/>
            </w14:solidFill>
          </w14:textFill>
        </w:rPr>
      </w:pPr>
    </w:p>
    <w:p w14:paraId="19C1DEC4">
      <w:pPr>
        <w:keepNext/>
        <w:keepLines/>
        <w:spacing w:before="300" w:after="300"/>
        <w:ind w:firstLine="0" w:firstLineChars="0"/>
        <w:outlineLvl w:val="0"/>
        <w:rPr>
          <w:rFonts w:ascii="宋体" w:hAnsi="宋体" w:cs="宋体"/>
          <w:color w:val="000000" w:themeColor="text1"/>
          <w:kern w:val="44"/>
          <w:sz w:val="72"/>
          <w:szCs w:val="72"/>
          <w14:textFill>
            <w14:solidFill>
              <w14:schemeClr w14:val="tx1"/>
            </w14:solidFill>
          </w14:textFill>
        </w:rPr>
      </w:pPr>
      <w:bookmarkStart w:id="3" w:name="_Toc190439422"/>
      <w:bookmarkStart w:id="4" w:name="_Toc195033169"/>
      <w:bookmarkStart w:id="5" w:name="_Toc188380779"/>
      <w:bookmarkStart w:id="6" w:name="_Toc195469060"/>
      <w:bookmarkStart w:id="7" w:name="_Toc195033088"/>
      <w:r>
        <w:rPr>
          <w:rFonts w:hint="eastAsia" w:ascii="方正公文黑体" w:hAnsi="方正公文黑体" w:eastAsia="方正公文黑体" w:cs="方正公文黑体"/>
          <w:color w:val="000000" w:themeColor="text1"/>
          <w:kern w:val="44"/>
          <w:sz w:val="96"/>
          <w:szCs w:val="96"/>
          <w14:textFill>
            <w14:solidFill>
              <w14:schemeClr w14:val="tx1"/>
            </w14:solidFill>
          </w14:textFill>
        </w:rPr>
        <w:t>团   体   标   准</w:t>
      </w:r>
      <w:bookmarkEnd w:id="3"/>
      <w:bookmarkEnd w:id="4"/>
      <w:bookmarkEnd w:id="5"/>
      <w:bookmarkEnd w:id="6"/>
      <w:bookmarkEnd w:id="7"/>
    </w:p>
    <w:p w14:paraId="3D8BCF4F">
      <w:pPr>
        <w:spacing w:line="240" w:lineRule="auto"/>
        <w:ind w:firstLine="0" w:firstLineChars="0"/>
        <w:rPr>
          <w:rFonts w:ascii="Calibri" w:hAnsi="Calibri" w:cs="Times New Roman"/>
          <w:color w:val="000000" w:themeColor="text1"/>
          <w:sz w:val="32"/>
          <w:szCs w:val="32"/>
          <w:u w:val="single"/>
          <w14:textFill>
            <w14:solidFill>
              <w14:schemeClr w14:val="tx1"/>
            </w14:solidFill>
          </w14:textFill>
        </w:rPr>
      </w:pPr>
      <w:r>
        <w:rPr>
          <w:rFonts w:hint="eastAsia" w:ascii="Calibri" w:hAnsi="Calibri" w:cs="Times New Roman"/>
          <w:color w:val="000000" w:themeColor="text1"/>
          <w:sz w:val="32"/>
          <w:szCs w:val="32"/>
          <w:u w:val="single"/>
          <w14:textFill>
            <w14:solidFill>
              <w14:schemeClr w14:val="tx1"/>
            </w14:solidFill>
          </w14:textFill>
        </w:rPr>
        <w:t xml:space="preserve">                                                      </w:t>
      </w:r>
    </w:p>
    <w:p w14:paraId="379CD5D4">
      <w:pPr>
        <w:spacing w:line="240" w:lineRule="auto"/>
        <w:ind w:firstLine="0" w:firstLineChars="0"/>
        <w:rPr>
          <w:rFonts w:ascii="Calibri" w:hAnsi="Calibri" w:cs="Times New Roman"/>
          <w:color w:val="000000" w:themeColor="text1"/>
          <w14:textFill>
            <w14:solidFill>
              <w14:schemeClr w14:val="tx1"/>
            </w14:solidFill>
          </w14:textFill>
        </w:rPr>
      </w:pPr>
      <w:r>
        <w:rPr>
          <w:rFonts w:hint="eastAsia" w:ascii="Calibri" w:hAnsi="Calibri" w:cs="Times New Roman"/>
          <w:color w:val="000000" w:themeColor="text1"/>
          <w14:textFill>
            <w14:solidFill>
              <w14:schemeClr w14:val="tx1"/>
            </w14:solidFill>
          </w14:textFill>
        </w:rPr>
        <w:t xml:space="preserve">      </w:t>
      </w:r>
    </w:p>
    <w:p w14:paraId="16C3EE79">
      <w:pPr>
        <w:spacing w:line="240" w:lineRule="auto"/>
        <w:ind w:firstLine="0" w:firstLineChars="0"/>
        <w:rPr>
          <w:rFonts w:ascii="Calibri" w:hAnsi="Calibri" w:cs="Times New Roman"/>
          <w:color w:val="000000" w:themeColor="text1"/>
          <w14:textFill>
            <w14:solidFill>
              <w14:schemeClr w14:val="tx1"/>
            </w14:solidFill>
          </w14:textFill>
        </w:rPr>
      </w:pPr>
    </w:p>
    <w:p w14:paraId="75A0643B">
      <w:pPr>
        <w:spacing w:line="240" w:lineRule="auto"/>
        <w:ind w:firstLine="0" w:firstLineChars="0"/>
        <w:jc w:val="center"/>
        <w:rPr>
          <w:rFonts w:ascii="方正公文黑体" w:hAnsi="方正公文黑体" w:eastAsia="方正公文黑体" w:cs="方正公文黑体"/>
          <w:color w:val="000000" w:themeColor="text1"/>
          <w:kern w:val="44"/>
          <w:sz w:val="40"/>
          <w:szCs w:val="40"/>
          <w14:textFill>
            <w14:solidFill>
              <w14:schemeClr w14:val="tx1"/>
            </w14:solidFill>
          </w14:textFill>
        </w:rPr>
      </w:pPr>
      <w:r>
        <w:rPr>
          <w:rFonts w:hint="eastAsia" w:ascii="方正公文黑体" w:hAnsi="方正公文黑体" w:eastAsia="方正公文黑体" w:cs="方正公文黑体"/>
          <w:color w:val="000000" w:themeColor="text1"/>
          <w:kern w:val="44"/>
          <w:sz w:val="40"/>
          <w:szCs w:val="40"/>
          <w14:textFill>
            <w14:solidFill>
              <w14:schemeClr w14:val="tx1"/>
            </w14:solidFill>
          </w14:textFill>
        </w:rPr>
        <w:t>冠心病住院患者药学监护</w:t>
      </w:r>
      <w:r>
        <w:rPr>
          <w:rFonts w:ascii="方正公文黑体" w:hAnsi="方正公文黑体" w:eastAsia="方正公文黑体" w:cs="方正公文黑体"/>
          <w:color w:val="000000" w:themeColor="text1"/>
          <w:kern w:val="44"/>
          <w:sz w:val="40"/>
          <w:szCs w:val="40"/>
          <w14:textFill>
            <w14:solidFill>
              <w14:schemeClr w14:val="tx1"/>
            </w14:solidFill>
          </w14:textFill>
        </w:rPr>
        <w:t>服务</w:t>
      </w:r>
      <w:r>
        <w:rPr>
          <w:rFonts w:hint="eastAsia" w:ascii="方正公文黑体" w:hAnsi="方正公文黑体" w:eastAsia="方正公文黑体" w:cs="方正公文黑体"/>
          <w:color w:val="000000" w:themeColor="text1"/>
          <w:kern w:val="44"/>
          <w:sz w:val="40"/>
          <w:szCs w:val="40"/>
          <w14:textFill>
            <w14:solidFill>
              <w14:schemeClr w14:val="tx1"/>
            </w14:solidFill>
          </w14:textFill>
        </w:rPr>
        <w:t>规范</w:t>
      </w:r>
    </w:p>
    <w:p w14:paraId="25322831">
      <w:pPr>
        <w:ind w:firstLine="0" w:firstLineChars="0"/>
        <w:jc w:val="center"/>
        <w:rPr>
          <w:rFonts w:cstheme="minorEastAsia"/>
          <w:color w:val="000000" w:themeColor="text1"/>
          <w:kern w:val="44"/>
          <w:sz w:val="32"/>
          <w:szCs w:val="32"/>
          <w:highlight w:val="yellow"/>
          <w14:textFill>
            <w14:solidFill>
              <w14:schemeClr w14:val="tx1"/>
            </w14:solidFill>
          </w14:textFill>
        </w:rPr>
      </w:pPr>
      <w:r>
        <w:rPr>
          <w:rFonts w:hint="eastAsia" w:ascii="Times New Roman" w:hAnsi="Times New Roman" w:cs="Times New Roman"/>
          <w:color w:val="000000" w:themeColor="text1"/>
          <w:kern w:val="0"/>
          <w:sz w:val="28"/>
          <w:szCs w:val="28"/>
          <w:lang w:bidi="ar"/>
          <w14:textFill>
            <w14:solidFill>
              <w14:schemeClr w14:val="tx1"/>
            </w14:solidFill>
          </w14:textFill>
        </w:rPr>
        <w:t>Pharmaceutical Care service</w:t>
      </w:r>
      <w:r>
        <w:rPr>
          <w:rFonts w:ascii="Times New Roman" w:hAnsi="Times New Roman" w:cs="Times New Roman"/>
          <w:color w:val="000000" w:themeColor="text1"/>
          <w:kern w:val="0"/>
          <w:sz w:val="28"/>
          <w:szCs w:val="28"/>
          <w:lang w:bidi="ar"/>
          <w14:textFill>
            <w14:solidFill>
              <w14:schemeClr w14:val="tx1"/>
            </w14:solidFill>
          </w14:textFill>
        </w:rPr>
        <w:t xml:space="preserve"> specifications of inpatients with coronary heart disease</w:t>
      </w:r>
    </w:p>
    <w:p w14:paraId="103CA3EA">
      <w:pPr>
        <w:ind w:firstLine="0" w:firstLineChars="0"/>
        <w:jc w:val="center"/>
        <w:rPr>
          <w:rFonts w:cstheme="minorEastAsia"/>
          <w:color w:val="000000" w:themeColor="text1"/>
          <w:kern w:val="44"/>
          <w:sz w:val="28"/>
          <w:szCs w:val="28"/>
          <w14:textFill>
            <w14:solidFill>
              <w14:schemeClr w14:val="tx1"/>
            </w14:solidFill>
          </w14:textFill>
        </w:rPr>
      </w:pPr>
      <w:r>
        <w:rPr>
          <w:rFonts w:hint="eastAsia" w:cstheme="minorEastAsia"/>
          <w:color w:val="000000" w:themeColor="text1"/>
          <w:kern w:val="44"/>
          <w:sz w:val="28"/>
          <w:szCs w:val="28"/>
          <w14:textFill>
            <w14:solidFill>
              <w14:schemeClr w14:val="tx1"/>
            </w14:solidFill>
          </w14:textFill>
        </w:rPr>
        <w:t>（文件类型：</w:t>
      </w:r>
      <w:r>
        <w:rPr>
          <w:rFonts w:hint="eastAsia" w:cstheme="minorEastAsia"/>
          <w:color w:val="000000" w:themeColor="text1"/>
          <w:kern w:val="44"/>
          <w:sz w:val="28"/>
          <w:szCs w:val="28"/>
          <w:lang w:val="en-US" w:eastAsia="zh-CN"/>
          <w14:textFill>
            <w14:solidFill>
              <w14:schemeClr w14:val="tx1"/>
            </w14:solidFill>
          </w14:textFill>
        </w:rPr>
        <w:t>发布稿</w:t>
      </w:r>
      <w:r>
        <w:rPr>
          <w:rFonts w:hint="eastAsia" w:cstheme="minorEastAsia"/>
          <w:color w:val="000000" w:themeColor="text1"/>
          <w:kern w:val="44"/>
          <w:sz w:val="28"/>
          <w:szCs w:val="28"/>
          <w14:textFill>
            <w14:solidFill>
              <w14:schemeClr w14:val="tx1"/>
            </w14:solidFill>
          </w14:textFill>
        </w:rPr>
        <w:t>）</w:t>
      </w:r>
    </w:p>
    <w:p w14:paraId="0168FFC2">
      <w:pPr>
        <w:spacing w:line="240" w:lineRule="auto"/>
        <w:ind w:firstLine="3200" w:firstLineChars="800"/>
        <w:rPr>
          <w:rFonts w:ascii="方正公文黑体" w:hAnsi="方正公文黑体" w:eastAsia="方正公文黑体" w:cs="方正公文黑体"/>
          <w:color w:val="000000" w:themeColor="text1"/>
          <w:kern w:val="44"/>
          <w:sz w:val="40"/>
          <w:szCs w:val="40"/>
          <w14:textFill>
            <w14:solidFill>
              <w14:schemeClr w14:val="tx1"/>
            </w14:solidFill>
          </w14:textFill>
        </w:rPr>
      </w:pPr>
    </w:p>
    <w:p w14:paraId="34286E59">
      <w:pPr>
        <w:spacing w:line="240" w:lineRule="auto"/>
        <w:ind w:firstLine="3200" w:firstLineChars="800"/>
        <w:rPr>
          <w:rFonts w:ascii="方正公文黑体" w:hAnsi="方正公文黑体" w:eastAsia="方正公文黑体" w:cs="方正公文黑体"/>
          <w:color w:val="000000" w:themeColor="text1"/>
          <w:kern w:val="44"/>
          <w:sz w:val="40"/>
          <w:szCs w:val="40"/>
          <w14:textFill>
            <w14:solidFill>
              <w14:schemeClr w14:val="tx1"/>
            </w14:solidFill>
          </w14:textFill>
        </w:rPr>
      </w:pPr>
    </w:p>
    <w:p w14:paraId="0E1E2101">
      <w:pPr>
        <w:spacing w:line="240" w:lineRule="auto"/>
        <w:ind w:firstLine="3200" w:firstLineChars="800"/>
        <w:rPr>
          <w:rFonts w:ascii="方正公文黑体" w:hAnsi="方正公文黑体" w:eastAsia="方正公文黑体" w:cs="方正公文黑体"/>
          <w:color w:val="000000" w:themeColor="text1"/>
          <w:kern w:val="44"/>
          <w:sz w:val="40"/>
          <w:szCs w:val="40"/>
          <w14:textFill>
            <w14:solidFill>
              <w14:schemeClr w14:val="tx1"/>
            </w14:solidFill>
          </w14:textFill>
        </w:rPr>
      </w:pPr>
    </w:p>
    <w:p w14:paraId="34E4EC15">
      <w:pPr>
        <w:spacing w:line="240" w:lineRule="auto"/>
        <w:ind w:firstLine="0" w:firstLineChars="0"/>
        <w:rPr>
          <w:rFonts w:ascii="方正公文黑体" w:hAnsi="方正公文黑体" w:eastAsia="方正公文黑体" w:cs="方正公文黑体"/>
          <w:color w:val="000000" w:themeColor="text1"/>
          <w:kern w:val="44"/>
          <w:sz w:val="40"/>
          <w:szCs w:val="40"/>
          <w14:textFill>
            <w14:solidFill>
              <w14:schemeClr w14:val="tx1"/>
            </w14:solidFill>
          </w14:textFill>
        </w:rPr>
      </w:pPr>
    </w:p>
    <w:p w14:paraId="4D41B31D">
      <w:pPr>
        <w:spacing w:line="240" w:lineRule="auto"/>
        <w:ind w:firstLine="3200" w:firstLineChars="800"/>
        <w:rPr>
          <w:rFonts w:ascii="方正公文黑体" w:hAnsi="方正公文黑体" w:eastAsia="方正公文黑体" w:cs="方正公文黑体"/>
          <w:color w:val="000000" w:themeColor="text1"/>
          <w:kern w:val="44"/>
          <w:sz w:val="40"/>
          <w:szCs w:val="40"/>
          <w14:textFill>
            <w14:solidFill>
              <w14:schemeClr w14:val="tx1"/>
            </w14:solidFill>
          </w14:textFill>
        </w:rPr>
      </w:pPr>
    </w:p>
    <w:p w14:paraId="6C813AAF">
      <w:pPr>
        <w:widowControl/>
        <w:spacing w:line="240" w:lineRule="auto"/>
        <w:ind w:firstLine="0" w:firstLineChars="0"/>
        <w:jc w:val="left"/>
        <w:rPr>
          <w:rFonts w:ascii="Calibri" w:hAnsi="Calibri" w:cs="Times New Roman"/>
          <w:color w:val="000000" w:themeColor="text1"/>
          <w:sz w:val="32"/>
          <w:szCs w:val="32"/>
          <w:u w:val="single"/>
          <w14:textFill>
            <w14:solidFill>
              <w14:schemeClr w14:val="tx1"/>
            </w14:solidFill>
          </w14:textFill>
        </w:rPr>
      </w:pPr>
      <w:r>
        <w:rPr>
          <w:rFonts w:hint="eastAsia" w:ascii="黑体" w:hAnsi="宋体" w:eastAsia="黑体" w:cs="黑体"/>
          <w:color w:val="000000" w:themeColor="text1"/>
          <w:kern w:val="0"/>
          <w:sz w:val="36"/>
          <w:szCs w:val="36"/>
          <w:u w:val="single"/>
          <w:lang w:bidi="ar"/>
          <w14:textFill>
            <w14:solidFill>
              <w14:schemeClr w14:val="tx1"/>
            </w14:solidFill>
          </w14:textFill>
        </w:rPr>
        <w:t>2025</w:t>
      </w:r>
      <w:r>
        <w:rPr>
          <w:rFonts w:hint="eastAsia" w:ascii="宋体" w:hAnsi="宋体" w:cs="宋体"/>
          <w:color w:val="000000" w:themeColor="text1"/>
          <w:kern w:val="0"/>
          <w:sz w:val="24"/>
          <w:szCs w:val="24"/>
          <w:u w:val="single"/>
          <w:lang w:bidi="ar"/>
          <w14:textFill>
            <w14:solidFill>
              <w14:schemeClr w14:val="tx1"/>
            </w14:solidFill>
          </w14:textFill>
        </w:rPr>
        <w:t>－</w:t>
      </w:r>
      <w:r>
        <w:rPr>
          <w:rFonts w:hint="eastAsia" w:ascii="黑体" w:hAnsi="宋体" w:eastAsia="黑体" w:cs="黑体"/>
          <w:color w:val="000000" w:themeColor="text1"/>
          <w:kern w:val="0"/>
          <w:sz w:val="36"/>
          <w:szCs w:val="36"/>
          <w:u w:val="single"/>
          <w:lang w:bidi="ar"/>
          <w14:textFill>
            <w14:solidFill>
              <w14:schemeClr w14:val="tx1"/>
            </w14:solidFill>
          </w14:textFill>
        </w:rPr>
        <w:t>08－</w:t>
      </w:r>
      <w:r>
        <w:rPr>
          <w:rFonts w:hint="eastAsia" w:ascii="黑体" w:hAnsi="宋体" w:eastAsia="黑体" w:cs="黑体"/>
          <w:color w:val="000000" w:themeColor="text1"/>
          <w:kern w:val="0"/>
          <w:sz w:val="36"/>
          <w:szCs w:val="36"/>
          <w:u w:val="single"/>
          <w:lang w:val="en-US" w:eastAsia="zh-CN" w:bidi="ar"/>
          <w14:textFill>
            <w14:solidFill>
              <w14:schemeClr w14:val="tx1"/>
            </w14:solidFill>
          </w14:textFill>
        </w:rPr>
        <w:t>15</w:t>
      </w:r>
      <w:r>
        <w:rPr>
          <w:rFonts w:hint="eastAsia" w:ascii="黑体" w:hAnsi="宋体" w:eastAsia="黑体" w:cs="黑体"/>
          <w:color w:val="000000" w:themeColor="text1"/>
          <w:kern w:val="0"/>
          <w:sz w:val="36"/>
          <w:szCs w:val="36"/>
          <w:u w:val="single"/>
          <w:lang w:bidi="ar"/>
          <w14:textFill>
            <w14:solidFill>
              <w14:schemeClr w14:val="tx1"/>
            </w14:solidFill>
          </w14:textFill>
        </w:rPr>
        <w:t xml:space="preserve">发布    </w:t>
      </w:r>
      <w:r>
        <w:rPr>
          <w:rFonts w:hint="eastAsia" w:ascii="黑体" w:hAnsi="宋体" w:eastAsia="黑体" w:cs="黑体"/>
          <w:color w:val="000000" w:themeColor="text1"/>
          <w:kern w:val="0"/>
          <w:sz w:val="36"/>
          <w:szCs w:val="36"/>
          <w:u w:val="single"/>
          <w:lang w:val="en-US" w:eastAsia="zh-CN" w:bidi="ar"/>
          <w14:textFill>
            <w14:solidFill>
              <w14:schemeClr w14:val="tx1"/>
            </w14:solidFill>
          </w14:textFill>
        </w:rPr>
        <w:t xml:space="preserve">       </w:t>
      </w:r>
      <w:r>
        <w:rPr>
          <w:rFonts w:hint="eastAsia" w:ascii="黑体" w:hAnsi="宋体" w:eastAsia="黑体" w:cs="黑体"/>
          <w:color w:val="000000" w:themeColor="text1"/>
          <w:kern w:val="0"/>
          <w:sz w:val="36"/>
          <w:szCs w:val="36"/>
          <w:u w:val="single"/>
          <w:lang w:bidi="ar"/>
          <w14:textFill>
            <w14:solidFill>
              <w14:schemeClr w14:val="tx1"/>
            </w14:solidFill>
          </w14:textFill>
        </w:rPr>
        <w:t>2025－</w:t>
      </w:r>
      <w:r>
        <w:rPr>
          <w:rFonts w:hint="eastAsia" w:ascii="黑体" w:hAnsi="宋体" w:eastAsia="黑体" w:cs="黑体"/>
          <w:color w:val="000000" w:themeColor="text1"/>
          <w:kern w:val="0"/>
          <w:sz w:val="36"/>
          <w:szCs w:val="36"/>
          <w:u w:val="single"/>
          <w:lang w:val="en-US" w:eastAsia="zh-CN" w:bidi="ar"/>
          <w14:textFill>
            <w14:solidFill>
              <w14:schemeClr w14:val="tx1"/>
            </w14:solidFill>
          </w14:textFill>
        </w:rPr>
        <w:t>09</w:t>
      </w:r>
      <w:r>
        <w:rPr>
          <w:rFonts w:hint="eastAsia" w:ascii="黑体" w:hAnsi="宋体" w:eastAsia="黑体" w:cs="黑体"/>
          <w:color w:val="000000" w:themeColor="text1"/>
          <w:kern w:val="0"/>
          <w:sz w:val="36"/>
          <w:szCs w:val="36"/>
          <w:u w:val="single"/>
          <w:lang w:bidi="ar"/>
          <w14:textFill>
            <w14:solidFill>
              <w14:schemeClr w14:val="tx1"/>
            </w14:solidFill>
          </w14:textFill>
        </w:rPr>
        <w:t>－</w:t>
      </w:r>
      <w:r>
        <w:rPr>
          <w:rFonts w:hint="eastAsia" w:ascii="黑体" w:hAnsi="宋体" w:eastAsia="黑体" w:cs="黑体"/>
          <w:color w:val="000000" w:themeColor="text1"/>
          <w:kern w:val="0"/>
          <w:sz w:val="36"/>
          <w:szCs w:val="36"/>
          <w:u w:val="single"/>
          <w:lang w:val="en-US" w:eastAsia="zh-CN" w:bidi="ar"/>
          <w14:textFill>
            <w14:solidFill>
              <w14:schemeClr w14:val="tx1"/>
            </w14:solidFill>
          </w14:textFill>
        </w:rPr>
        <w:t>01</w:t>
      </w:r>
      <w:r>
        <w:rPr>
          <w:rFonts w:hint="eastAsia" w:ascii="黑体" w:hAnsi="宋体" w:eastAsia="黑体" w:cs="黑体"/>
          <w:color w:val="000000" w:themeColor="text1"/>
          <w:kern w:val="0"/>
          <w:sz w:val="36"/>
          <w:szCs w:val="36"/>
          <w:u w:val="single"/>
          <w:lang w:bidi="ar"/>
          <w14:textFill>
            <w14:solidFill>
              <w14:schemeClr w14:val="tx1"/>
            </w14:solidFill>
          </w14:textFill>
        </w:rPr>
        <w:t>实施</w:t>
      </w:r>
      <w:r>
        <w:rPr>
          <w:rFonts w:hint="eastAsia" w:ascii="黑体" w:hAnsi="宋体" w:eastAsia="黑体" w:cs="黑体"/>
          <w:color w:val="000000" w:themeColor="text1"/>
          <w:kern w:val="0"/>
          <w:sz w:val="44"/>
          <w:szCs w:val="44"/>
          <w:u w:val="single"/>
          <w:lang w:bidi="ar"/>
          <w14:textFill>
            <w14:solidFill>
              <w14:schemeClr w14:val="tx1"/>
            </w14:solidFill>
          </w14:textFill>
        </w:rPr>
        <w:t xml:space="preserve"> </w:t>
      </w:r>
      <w:r>
        <w:rPr>
          <w:rFonts w:hint="eastAsia" w:ascii="Calibri" w:hAnsi="Calibri" w:cs="Times New Roman"/>
          <w:color w:val="000000" w:themeColor="text1"/>
          <w:sz w:val="32"/>
          <w:szCs w:val="32"/>
          <w:u w:val="single"/>
          <w14:textFill>
            <w14:solidFill>
              <w14:schemeClr w14:val="tx1"/>
            </w14:solidFill>
          </w14:textFill>
        </w:rPr>
        <w:t xml:space="preserve">                            </w:t>
      </w:r>
    </w:p>
    <w:p w14:paraId="34B53752">
      <w:pPr>
        <w:spacing w:line="240" w:lineRule="auto"/>
        <w:ind w:firstLine="2891" w:firstLineChars="900"/>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河南省药学会  发布</w:t>
      </w:r>
    </w:p>
    <w:p w14:paraId="2718266C">
      <w:pPr>
        <w:spacing w:line="240" w:lineRule="auto"/>
        <w:ind w:firstLine="3200" w:firstLineChars="800"/>
        <w:rPr>
          <w:rFonts w:ascii="方正公文黑体" w:hAnsi="方正公文黑体" w:eastAsia="方正公文黑体" w:cs="方正公文黑体"/>
          <w:color w:val="000000" w:themeColor="text1"/>
          <w:kern w:val="44"/>
          <w:sz w:val="40"/>
          <w:szCs w:val="40"/>
          <w14:textFill>
            <w14:solidFill>
              <w14:schemeClr w14:val="tx1"/>
            </w14:solidFill>
          </w14:textFill>
        </w:rPr>
      </w:pPr>
    </w:p>
    <w:p w14:paraId="6486CAB5">
      <w:pPr>
        <w:ind w:firstLine="0" w:firstLineChars="0"/>
        <w:rPr>
          <w:rFonts w:ascii="Times New Roman" w:hAnsi="Times New Roman" w:cs="Times New Roman"/>
          <w:color w:val="000000" w:themeColor="text1"/>
          <w14:textFill>
            <w14:solidFill>
              <w14:schemeClr w14:val="tx1"/>
            </w14:solidFill>
          </w14:textFill>
        </w:rPr>
      </w:pPr>
    </w:p>
    <w:p w14:paraId="221B7AEA">
      <w:pPr>
        <w:ind w:firstLine="420"/>
        <w:rPr>
          <w:rFonts w:ascii="Times New Roman" w:hAnsi="Times New Roman" w:cs="Times New Roman"/>
          <w:color w:val="000000" w:themeColor="text1"/>
          <w14:textFill>
            <w14:solidFill>
              <w14:schemeClr w14:val="tx1"/>
            </w14:solidFill>
          </w14:textFill>
        </w:rPr>
      </w:pPr>
    </w:p>
    <w:p w14:paraId="134731D6">
      <w:pPr>
        <w:ind w:firstLine="420"/>
        <w:rPr>
          <w:rFonts w:ascii="Times New Roman" w:hAnsi="Times New Roman" w:cs="Times New Roman"/>
          <w:color w:val="000000" w:themeColor="text1"/>
          <w14:textFill>
            <w14:solidFill>
              <w14:schemeClr w14:val="tx1"/>
            </w14:solidFill>
          </w14:textFill>
        </w:rPr>
      </w:pPr>
    </w:p>
    <w:p w14:paraId="2D4F9584">
      <w:pPr>
        <w:pStyle w:val="18"/>
        <w:tabs>
          <w:tab w:val="right" w:leader="dot" w:pos="8302"/>
        </w:tabs>
        <w:jc w:val="both"/>
        <w:rPr>
          <w:rFonts w:ascii="宋体" w:hAnsi="宋体"/>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440" w:right="1797" w:bottom="1440" w:left="1797" w:header="1418" w:footer="1134" w:gutter="0"/>
          <w:pgNumType w:fmt="upperRoman" w:start="1"/>
          <w:cols w:space="720" w:num="1"/>
          <w:formProt w:val="0"/>
          <w:titlePg/>
          <w:docGrid w:linePitch="312" w:charSpace="0"/>
        </w:sectPr>
      </w:pPr>
    </w:p>
    <w:p w14:paraId="6127BA53">
      <w:pPr>
        <w:pStyle w:val="18"/>
        <w:tabs>
          <w:tab w:val="right" w:leader="dot" w:pos="8302"/>
        </w:tabs>
        <w:jc w:val="center"/>
        <w:rPr>
          <w:rFonts w:ascii="Times New Roman" w:eastAsiaTheme="minorEastAsia"/>
          <w:color w:val="000000" w:themeColor="text1"/>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目</w:t>
      </w:r>
      <w:bookmarkStart w:id="8" w:name="BKML"/>
      <w:r>
        <w:rPr>
          <w:rFonts w:hint="eastAsia" w:ascii="宋体" w:hAnsi="宋体"/>
          <w:color w:val="000000" w:themeColor="text1"/>
          <w:sz w:val="32"/>
          <w:szCs w:val="32"/>
          <w14:textFill>
            <w14:solidFill>
              <w14:schemeClr w14:val="tx1"/>
            </w14:solidFill>
          </w14:textFill>
        </w:rPr>
        <w:t xml:space="preserve">  次</w:t>
      </w:r>
      <w:bookmarkEnd w:id="0"/>
      <w:bookmarkEnd w:id="1"/>
      <w:bookmarkEnd w:id="2"/>
      <w:bookmarkEnd w:id="8"/>
      <w:r>
        <w:rPr>
          <w:rFonts w:ascii="Times New Roman" w:eastAsiaTheme="minorEastAsia"/>
          <w:color w:val="000000" w:themeColor="text1"/>
          <w14:textFill>
            <w14:solidFill>
              <w14:schemeClr w14:val="tx1"/>
            </w14:solidFill>
          </w14:textFill>
        </w:rPr>
        <w:fldChar w:fldCharType="begin"/>
      </w:r>
      <w:r>
        <w:rPr>
          <w:rFonts w:ascii="Times New Roman" w:eastAsiaTheme="minorEastAsia"/>
          <w:color w:val="000000" w:themeColor="text1"/>
          <w14:textFill>
            <w14:solidFill>
              <w14:schemeClr w14:val="tx1"/>
            </w14:solidFill>
          </w14:textFill>
        </w:rPr>
        <w:instrText xml:space="preserve"> TOC \o "1-3" \h \z \t "附录,1" </w:instrText>
      </w:r>
      <w:r>
        <w:rPr>
          <w:rFonts w:ascii="Times New Roman" w:eastAsiaTheme="minorEastAsia"/>
          <w:color w:val="000000" w:themeColor="text1"/>
          <w14:textFill>
            <w14:solidFill>
              <w14:schemeClr w14:val="tx1"/>
            </w14:solidFill>
          </w14:textFill>
        </w:rPr>
        <w:fldChar w:fldCharType="separate"/>
      </w:r>
    </w:p>
    <w:p w14:paraId="4C23E608">
      <w:pPr>
        <w:pStyle w:val="18"/>
        <w:tabs>
          <w:tab w:val="right" w:leader="dot" w:pos="8312"/>
        </w:tabs>
        <w:rPr>
          <w:rFonts w:ascii="Times New Roman"/>
          <w:b w:val="0"/>
          <w:bCs w:val="0"/>
        </w:rPr>
      </w:pPr>
      <w:r>
        <w:fldChar w:fldCharType="begin"/>
      </w:r>
      <w:r>
        <w:instrText xml:space="preserve"> HYPERLINK \l "_Toc20794" </w:instrText>
      </w:r>
      <w:r>
        <w:fldChar w:fldCharType="separate"/>
      </w:r>
      <w:r>
        <w:rPr>
          <w:rFonts w:ascii="Times New Roman"/>
          <w:b w:val="0"/>
          <w:bCs w:val="0"/>
        </w:rPr>
        <w:t>前  言</w:t>
      </w:r>
      <w:r>
        <w:rPr>
          <w:rFonts w:ascii="Times New Roman"/>
          <w:b w:val="0"/>
          <w:bCs w:val="0"/>
        </w:rPr>
        <w:tab/>
      </w:r>
      <w:r>
        <w:rPr>
          <w:rFonts w:ascii="Times New Roman"/>
          <w:b w:val="0"/>
          <w:bCs w:val="0"/>
        </w:rPr>
        <w:fldChar w:fldCharType="begin"/>
      </w:r>
      <w:r>
        <w:rPr>
          <w:rFonts w:ascii="Times New Roman"/>
          <w:b w:val="0"/>
          <w:bCs w:val="0"/>
        </w:rPr>
        <w:instrText xml:space="preserve"> PAGEREF _Toc20794 \h </w:instrText>
      </w:r>
      <w:r>
        <w:rPr>
          <w:rFonts w:ascii="Times New Roman"/>
          <w:b w:val="0"/>
          <w:bCs w:val="0"/>
        </w:rPr>
        <w:fldChar w:fldCharType="separate"/>
      </w:r>
      <w:r>
        <w:rPr>
          <w:rFonts w:ascii="Times New Roman"/>
          <w:b w:val="0"/>
          <w:bCs w:val="0"/>
        </w:rPr>
        <w:t>III</w:t>
      </w:r>
      <w:r>
        <w:rPr>
          <w:rFonts w:ascii="Times New Roman"/>
          <w:b w:val="0"/>
          <w:bCs w:val="0"/>
        </w:rPr>
        <w:fldChar w:fldCharType="end"/>
      </w:r>
      <w:r>
        <w:rPr>
          <w:rFonts w:ascii="Times New Roman"/>
          <w:b w:val="0"/>
          <w:bCs w:val="0"/>
        </w:rPr>
        <w:fldChar w:fldCharType="end"/>
      </w:r>
    </w:p>
    <w:p w14:paraId="183C9F9E">
      <w:pPr>
        <w:pStyle w:val="18"/>
        <w:tabs>
          <w:tab w:val="right" w:leader="dot" w:pos="8312"/>
        </w:tabs>
        <w:rPr>
          <w:rFonts w:ascii="Times New Roman"/>
          <w:b w:val="0"/>
          <w:bCs w:val="0"/>
        </w:rPr>
      </w:pPr>
      <w:r>
        <w:fldChar w:fldCharType="begin"/>
      </w:r>
      <w:r>
        <w:instrText xml:space="preserve"> HYPERLINK \l "_Toc10128" </w:instrText>
      </w:r>
      <w:r>
        <w:fldChar w:fldCharType="separate"/>
      </w:r>
      <w:r>
        <w:rPr>
          <w:rFonts w:ascii="Times New Roman"/>
          <w:b w:val="0"/>
          <w:bCs w:val="0"/>
        </w:rPr>
        <w:t>引  言</w:t>
      </w:r>
      <w:r>
        <w:rPr>
          <w:rFonts w:ascii="Times New Roman"/>
          <w:b w:val="0"/>
          <w:bCs w:val="0"/>
        </w:rPr>
        <w:tab/>
      </w:r>
      <w:r>
        <w:rPr>
          <w:rFonts w:ascii="Times New Roman"/>
          <w:b w:val="0"/>
          <w:bCs w:val="0"/>
        </w:rPr>
        <w:fldChar w:fldCharType="begin"/>
      </w:r>
      <w:r>
        <w:rPr>
          <w:rFonts w:ascii="Times New Roman"/>
          <w:b w:val="0"/>
          <w:bCs w:val="0"/>
        </w:rPr>
        <w:instrText xml:space="preserve"> PAGEREF _Toc10128 \h </w:instrText>
      </w:r>
      <w:r>
        <w:rPr>
          <w:rFonts w:ascii="Times New Roman"/>
          <w:b w:val="0"/>
          <w:bCs w:val="0"/>
        </w:rPr>
        <w:fldChar w:fldCharType="separate"/>
      </w:r>
      <w:r>
        <w:rPr>
          <w:rFonts w:ascii="Times New Roman"/>
          <w:b w:val="0"/>
          <w:bCs w:val="0"/>
        </w:rPr>
        <w:t>IV</w:t>
      </w:r>
      <w:r>
        <w:rPr>
          <w:rFonts w:ascii="Times New Roman"/>
          <w:b w:val="0"/>
          <w:bCs w:val="0"/>
        </w:rPr>
        <w:fldChar w:fldCharType="end"/>
      </w:r>
      <w:r>
        <w:rPr>
          <w:rFonts w:ascii="Times New Roman"/>
          <w:b w:val="0"/>
          <w:bCs w:val="0"/>
        </w:rPr>
        <w:fldChar w:fldCharType="end"/>
      </w:r>
    </w:p>
    <w:p w14:paraId="68C43AA6">
      <w:pPr>
        <w:pStyle w:val="18"/>
        <w:tabs>
          <w:tab w:val="right" w:leader="dot" w:pos="8312"/>
        </w:tabs>
        <w:rPr>
          <w:rFonts w:ascii="Times New Roman"/>
        </w:rPr>
      </w:pPr>
      <w:r>
        <w:fldChar w:fldCharType="begin"/>
      </w:r>
      <w:r>
        <w:instrText xml:space="preserve"> HYPERLINK \l "_Toc23360" </w:instrText>
      </w:r>
      <w:r>
        <w:fldChar w:fldCharType="separate"/>
      </w:r>
      <w:r>
        <w:rPr>
          <w:rFonts w:ascii="Times New Roman"/>
          <w:b w:val="0"/>
          <w:bCs w:val="0"/>
        </w:rPr>
        <w:t>冠心病住院患者药学监护服务规范</w:t>
      </w:r>
      <w:r>
        <w:rPr>
          <w:rFonts w:ascii="Times New Roman"/>
          <w:b w:val="0"/>
          <w:bCs w:val="0"/>
        </w:rPr>
        <w:tab/>
      </w:r>
      <w:r>
        <w:rPr>
          <w:rFonts w:ascii="Times New Roman"/>
          <w:b w:val="0"/>
          <w:bCs w:val="0"/>
        </w:rPr>
        <w:fldChar w:fldCharType="begin"/>
      </w:r>
      <w:r>
        <w:rPr>
          <w:rFonts w:ascii="Times New Roman"/>
          <w:b w:val="0"/>
          <w:bCs w:val="0"/>
        </w:rPr>
        <w:instrText xml:space="preserve"> PAGEREF _Toc23360 \h </w:instrText>
      </w:r>
      <w:r>
        <w:rPr>
          <w:rFonts w:ascii="Times New Roman"/>
          <w:b w:val="0"/>
          <w:bCs w:val="0"/>
        </w:rPr>
        <w:fldChar w:fldCharType="separate"/>
      </w:r>
      <w:r>
        <w:rPr>
          <w:rFonts w:ascii="Times New Roman"/>
          <w:b w:val="0"/>
          <w:bCs w:val="0"/>
        </w:rPr>
        <w:t>5</w:t>
      </w:r>
      <w:r>
        <w:rPr>
          <w:rFonts w:ascii="Times New Roman"/>
          <w:b w:val="0"/>
          <w:bCs w:val="0"/>
        </w:rPr>
        <w:fldChar w:fldCharType="end"/>
      </w:r>
      <w:r>
        <w:rPr>
          <w:rFonts w:ascii="Times New Roman"/>
          <w:b w:val="0"/>
          <w:bCs w:val="0"/>
        </w:rPr>
        <w:fldChar w:fldCharType="end"/>
      </w:r>
    </w:p>
    <w:p w14:paraId="4B0AF2BB">
      <w:pPr>
        <w:pStyle w:val="19"/>
        <w:tabs>
          <w:tab w:val="right" w:leader="dot" w:pos="8312"/>
          <w:tab w:val="clear" w:pos="0"/>
          <w:tab w:val="clear" w:pos="8302"/>
        </w:tabs>
        <w:rPr>
          <w:rFonts w:ascii="Times New Roman" w:hAnsi="Times New Roman"/>
        </w:rPr>
      </w:pPr>
      <w:r>
        <w:fldChar w:fldCharType="begin"/>
      </w:r>
      <w:r>
        <w:instrText xml:space="preserve"> HYPERLINK \l "_Toc29640" </w:instrText>
      </w:r>
      <w:r>
        <w:fldChar w:fldCharType="separate"/>
      </w:r>
      <w:r>
        <w:rPr>
          <w:rFonts w:ascii="Times New Roman" w:hAns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_Toc29640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7E0ED682">
      <w:pPr>
        <w:pStyle w:val="19"/>
        <w:tabs>
          <w:tab w:val="right" w:leader="dot" w:pos="8312"/>
          <w:tab w:val="clear" w:pos="0"/>
          <w:tab w:val="clear" w:pos="8302"/>
        </w:tabs>
        <w:rPr>
          <w:rFonts w:ascii="Times New Roman" w:hAnsi="Times New Roman"/>
        </w:rPr>
      </w:pPr>
      <w:r>
        <w:fldChar w:fldCharType="begin"/>
      </w:r>
      <w:r>
        <w:instrText xml:space="preserve"> HYPERLINK \l "_Toc18518" </w:instrText>
      </w:r>
      <w:r>
        <w:fldChar w:fldCharType="separate"/>
      </w:r>
      <w:r>
        <w:rPr>
          <w:rFonts w:ascii="Times New Roman" w:hAns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_Toc18518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1A482C9E">
      <w:pPr>
        <w:pStyle w:val="19"/>
        <w:tabs>
          <w:tab w:val="right" w:leader="dot" w:pos="8312"/>
          <w:tab w:val="clear" w:pos="0"/>
          <w:tab w:val="clear" w:pos="8302"/>
        </w:tabs>
        <w:rPr>
          <w:rFonts w:ascii="Times New Roman" w:hAnsi="Times New Roman"/>
        </w:rPr>
      </w:pPr>
      <w:r>
        <w:fldChar w:fldCharType="begin"/>
      </w:r>
      <w:r>
        <w:instrText xml:space="preserve"> HYPERLINK \l "_Toc1393" </w:instrText>
      </w:r>
      <w:r>
        <w:fldChar w:fldCharType="separate"/>
      </w:r>
      <w:r>
        <w:rPr>
          <w:rFonts w:ascii="Times New Roman" w:hAnsi="Times New Roman" w:eastAsiaTheme="minorEastAsia"/>
        </w:rPr>
        <w:t>3.</w:t>
      </w:r>
      <w:r>
        <w:rPr>
          <w:rFonts w:ascii="Times New Roman" w:hAnsi="Times New Roman"/>
        </w:rPr>
        <w:t xml:space="preserve">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_Toc1393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5DE478BF">
      <w:pPr>
        <w:pStyle w:val="12"/>
        <w:tabs>
          <w:tab w:val="right" w:leader="dot" w:pos="8312"/>
        </w:tabs>
        <w:ind w:firstLine="420"/>
        <w:rPr>
          <w:rFonts w:ascii="Times New Roman" w:hAnsi="Times New Roman" w:cs="Times New Roman"/>
        </w:rPr>
      </w:pPr>
      <w:r>
        <w:fldChar w:fldCharType="begin"/>
      </w:r>
      <w:r>
        <w:instrText xml:space="preserve"> HYPERLINK \l "_Toc7742" </w:instrText>
      </w:r>
      <w:r>
        <w:fldChar w:fldCharType="separate"/>
      </w:r>
      <w:r>
        <w:rPr>
          <w:rFonts w:ascii="Times New Roman" w:hAnsi="Times New Roman" w:cs="Times New Roman"/>
          <w:szCs w:val="21"/>
        </w:rPr>
        <w:t>3.1 多学科联合诊疗 Multi-disciplinary Team</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_Toc7742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20F91EF1">
      <w:pPr>
        <w:pStyle w:val="12"/>
        <w:tabs>
          <w:tab w:val="right" w:leader="dot" w:pos="8312"/>
        </w:tabs>
        <w:ind w:firstLine="420"/>
        <w:rPr>
          <w:rFonts w:ascii="Times New Roman" w:hAnsi="Times New Roman" w:cs="Times New Roman"/>
        </w:rPr>
      </w:pPr>
      <w:r>
        <w:fldChar w:fldCharType="begin"/>
      </w:r>
      <w:r>
        <w:instrText xml:space="preserve"> HYPERLINK \l "_Toc8745" </w:instrText>
      </w:r>
      <w:r>
        <w:fldChar w:fldCharType="separate"/>
      </w:r>
      <w:r>
        <w:rPr>
          <w:rFonts w:ascii="Times New Roman" w:hAnsi="Times New Roman" w:cs="Times New Roman"/>
          <w:szCs w:val="21"/>
        </w:rPr>
        <w:t>3.2 冠状动脉粥样硬化性心脏病 Coronary Atherosclerotic Heart Disease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_Toc8745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1024B814">
      <w:pPr>
        <w:pStyle w:val="12"/>
        <w:tabs>
          <w:tab w:val="right" w:leader="dot" w:pos="8312"/>
        </w:tabs>
        <w:ind w:firstLine="420"/>
        <w:rPr>
          <w:rFonts w:ascii="Times New Roman" w:hAnsi="Times New Roman" w:cs="Times New Roman"/>
        </w:rPr>
      </w:pPr>
      <w:r>
        <w:fldChar w:fldCharType="begin"/>
      </w:r>
      <w:r>
        <w:instrText xml:space="preserve"> HYPERLINK \l "_Toc12136" </w:instrText>
      </w:r>
      <w:r>
        <w:fldChar w:fldCharType="separate"/>
      </w:r>
      <w:r>
        <w:rPr>
          <w:rFonts w:ascii="Times New Roman" w:hAnsi="Times New Roman" w:cs="Times New Roman"/>
          <w:szCs w:val="21"/>
        </w:rPr>
        <w:t>3.3 临床药师 Clinical Pharmacist</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_Toc12136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6BB69767">
      <w:pPr>
        <w:pStyle w:val="12"/>
        <w:tabs>
          <w:tab w:val="right" w:leader="dot" w:pos="8312"/>
        </w:tabs>
        <w:ind w:firstLine="420"/>
        <w:rPr>
          <w:rFonts w:ascii="Times New Roman" w:hAnsi="Times New Roman" w:cs="Times New Roman"/>
        </w:rPr>
      </w:pPr>
      <w:r>
        <w:fldChar w:fldCharType="begin"/>
      </w:r>
      <w:r>
        <w:instrText xml:space="preserve"> HYPERLINK \l "_Toc5207" </w:instrText>
      </w:r>
      <w:r>
        <w:fldChar w:fldCharType="separate"/>
      </w:r>
      <w:r>
        <w:rPr>
          <w:rFonts w:ascii="Times New Roman" w:hAnsi="Times New Roman" w:cs="Times New Roman"/>
          <w:szCs w:val="21"/>
        </w:rPr>
        <w:t>3.</w:t>
      </w:r>
      <w:r>
        <w:rPr>
          <w:rFonts w:hint="eastAsia" w:ascii="Times New Roman" w:hAnsi="Times New Roman" w:cs="Times New Roman"/>
          <w:szCs w:val="21"/>
        </w:rPr>
        <w:t>4</w:t>
      </w:r>
      <w:r>
        <w:rPr>
          <w:rFonts w:ascii="Times New Roman" w:hAnsi="Times New Roman" w:cs="Times New Roman"/>
          <w:szCs w:val="21"/>
        </w:rPr>
        <w:t xml:space="preserve"> 药历 Pharmaceutical Record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_Toc5207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56DB36D7">
      <w:pPr>
        <w:pStyle w:val="12"/>
        <w:tabs>
          <w:tab w:val="right" w:leader="dot" w:pos="8312"/>
        </w:tabs>
        <w:ind w:firstLine="420"/>
        <w:rPr>
          <w:rFonts w:ascii="Times New Roman" w:hAnsi="Times New Roman" w:cs="Times New Roman"/>
        </w:rPr>
      </w:pPr>
      <w:r>
        <w:fldChar w:fldCharType="begin"/>
      </w:r>
      <w:r>
        <w:instrText xml:space="preserve"> HYPERLINK \l "_Toc4473" </w:instrText>
      </w:r>
      <w:r>
        <w:fldChar w:fldCharType="separate"/>
      </w:r>
      <w:r>
        <w:rPr>
          <w:rFonts w:ascii="Times New Roman" w:hAnsi="Times New Roman" w:cs="Times New Roman"/>
          <w:szCs w:val="21"/>
        </w:rPr>
        <w:t>3.</w:t>
      </w:r>
      <w:r>
        <w:rPr>
          <w:rFonts w:hint="eastAsia" w:ascii="Times New Roman" w:hAnsi="Times New Roman" w:cs="Times New Roman"/>
          <w:szCs w:val="21"/>
        </w:rPr>
        <w:t>5</w:t>
      </w:r>
      <w:r>
        <w:rPr>
          <w:rFonts w:ascii="Times New Roman" w:hAnsi="Times New Roman" w:cs="Times New Roman"/>
          <w:szCs w:val="21"/>
        </w:rPr>
        <w:t xml:space="preserve"> 药品不良反应 Adverse Drug Reaction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_Toc4473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32D3A9A7">
      <w:pPr>
        <w:pStyle w:val="12"/>
        <w:tabs>
          <w:tab w:val="right" w:leader="dot" w:pos="8312"/>
        </w:tabs>
        <w:ind w:firstLine="420"/>
        <w:rPr>
          <w:rFonts w:ascii="Times New Roman" w:hAnsi="Times New Roman" w:cs="Times New Roman"/>
        </w:rPr>
      </w:pPr>
      <w:r>
        <w:fldChar w:fldCharType="begin"/>
      </w:r>
      <w:r>
        <w:instrText xml:space="preserve"> HYPERLINK \l "_Toc2758" </w:instrText>
      </w:r>
      <w:r>
        <w:fldChar w:fldCharType="separate"/>
      </w:r>
      <w:r>
        <w:rPr>
          <w:rFonts w:ascii="Times New Roman" w:hAnsi="Times New Roman" w:cs="Times New Roman"/>
          <w:szCs w:val="21"/>
        </w:rPr>
        <w:t>3.</w:t>
      </w:r>
      <w:r>
        <w:rPr>
          <w:rFonts w:hint="eastAsia" w:ascii="Times New Roman" w:hAnsi="Times New Roman" w:cs="Times New Roman"/>
          <w:szCs w:val="21"/>
        </w:rPr>
        <w:t>6</w:t>
      </w:r>
      <w:r>
        <w:rPr>
          <w:rFonts w:ascii="Times New Roman" w:hAnsi="Times New Roman" w:cs="Times New Roman"/>
          <w:szCs w:val="21"/>
        </w:rPr>
        <w:t xml:space="preserve"> 药物重整 Medication Reconciliation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_Toc2758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7D203372">
      <w:pPr>
        <w:pStyle w:val="12"/>
        <w:tabs>
          <w:tab w:val="right" w:leader="dot" w:pos="8312"/>
        </w:tabs>
        <w:ind w:firstLine="420"/>
        <w:rPr>
          <w:rFonts w:ascii="Times New Roman" w:hAnsi="Times New Roman" w:cs="Times New Roman"/>
        </w:rPr>
      </w:pPr>
      <w:r>
        <w:fldChar w:fldCharType="begin"/>
      </w:r>
      <w:r>
        <w:instrText xml:space="preserve"> HYPERLINK \l "_Toc21633" </w:instrText>
      </w:r>
      <w:r>
        <w:fldChar w:fldCharType="separate"/>
      </w:r>
      <w:r>
        <w:rPr>
          <w:rFonts w:ascii="Times New Roman" w:hAnsi="Times New Roman" w:cs="Times New Roman"/>
          <w:szCs w:val="21"/>
        </w:rPr>
        <w:t>3.</w:t>
      </w:r>
      <w:r>
        <w:rPr>
          <w:rFonts w:hint="eastAsia" w:ascii="Times New Roman" w:hAnsi="Times New Roman" w:cs="Times New Roman"/>
          <w:szCs w:val="21"/>
        </w:rPr>
        <w:t>7</w:t>
      </w:r>
      <w:r>
        <w:rPr>
          <w:rFonts w:ascii="Times New Roman" w:hAnsi="Times New Roman" w:cs="Times New Roman"/>
          <w:szCs w:val="21"/>
        </w:rPr>
        <w:t xml:space="preserve"> 药物-药物相互作用 Drug-Drug Interaction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_Toc21633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57629D11">
      <w:pPr>
        <w:pStyle w:val="12"/>
        <w:tabs>
          <w:tab w:val="right" w:leader="dot" w:pos="8312"/>
        </w:tabs>
        <w:ind w:firstLine="420"/>
        <w:rPr>
          <w:rFonts w:ascii="Times New Roman" w:hAnsi="Times New Roman" w:cs="Times New Roman"/>
        </w:rPr>
      </w:pPr>
      <w:r>
        <w:fldChar w:fldCharType="begin"/>
      </w:r>
      <w:r>
        <w:instrText xml:space="preserve"> HYPERLINK \l "_Toc29473" </w:instrText>
      </w:r>
      <w:r>
        <w:fldChar w:fldCharType="separate"/>
      </w:r>
      <w:r>
        <w:rPr>
          <w:rFonts w:ascii="Times New Roman" w:hAnsi="Times New Roman" w:cs="Times New Roman"/>
          <w:szCs w:val="21"/>
        </w:rPr>
        <w:t>3.</w:t>
      </w:r>
      <w:r>
        <w:rPr>
          <w:rFonts w:hint="eastAsia" w:ascii="Times New Roman" w:hAnsi="Times New Roman" w:cs="Times New Roman"/>
          <w:szCs w:val="21"/>
        </w:rPr>
        <w:t>8</w:t>
      </w:r>
      <w:r>
        <w:rPr>
          <w:rFonts w:ascii="Times New Roman" w:hAnsi="Times New Roman" w:cs="Times New Roman"/>
          <w:szCs w:val="21"/>
        </w:rPr>
        <w:t xml:space="preserve"> 药学病例讨论 Pharacy Case Discussion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_Toc29473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7D306A5E">
      <w:pPr>
        <w:pStyle w:val="12"/>
        <w:tabs>
          <w:tab w:val="right" w:leader="dot" w:pos="8312"/>
        </w:tabs>
        <w:ind w:firstLine="420"/>
        <w:rPr>
          <w:rFonts w:ascii="Times New Roman" w:hAnsi="Times New Roman" w:cs="Times New Roman"/>
        </w:rPr>
      </w:pPr>
      <w:r>
        <w:fldChar w:fldCharType="begin"/>
      </w:r>
      <w:r>
        <w:instrText xml:space="preserve"> HYPERLINK \l "_Toc3514" </w:instrText>
      </w:r>
      <w:r>
        <w:fldChar w:fldCharType="separate"/>
      </w:r>
      <w:r>
        <w:rPr>
          <w:rFonts w:ascii="Times New Roman" w:hAnsi="Times New Roman" w:cs="Times New Roman"/>
          <w:szCs w:val="21"/>
        </w:rPr>
        <w:t>3.</w:t>
      </w:r>
      <w:r>
        <w:rPr>
          <w:rFonts w:hint="eastAsia" w:ascii="Times New Roman" w:hAnsi="Times New Roman" w:cs="Times New Roman"/>
          <w:szCs w:val="21"/>
        </w:rPr>
        <w:t>9</w:t>
      </w:r>
      <w:r>
        <w:rPr>
          <w:rFonts w:ascii="Times New Roman" w:hAnsi="Times New Roman" w:cs="Times New Roman"/>
          <w:szCs w:val="21"/>
        </w:rPr>
        <w:t xml:space="preserve"> 药学查房 Pharmaceutical Ward Round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_Toc3514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456D8625">
      <w:pPr>
        <w:pStyle w:val="12"/>
        <w:tabs>
          <w:tab w:val="right" w:leader="dot" w:pos="8312"/>
        </w:tabs>
        <w:ind w:firstLine="420"/>
        <w:rPr>
          <w:rFonts w:ascii="Times New Roman" w:hAnsi="Times New Roman" w:cs="Times New Roman"/>
        </w:rPr>
      </w:pPr>
      <w:r>
        <w:fldChar w:fldCharType="begin"/>
      </w:r>
      <w:r>
        <w:instrText xml:space="preserve"> HYPERLINK \l "_Toc23729" </w:instrText>
      </w:r>
      <w:r>
        <w:fldChar w:fldCharType="separate"/>
      </w:r>
      <w:r>
        <w:rPr>
          <w:rFonts w:ascii="Times New Roman" w:hAnsi="Times New Roman" w:cs="Times New Roman"/>
          <w:szCs w:val="21"/>
        </w:rPr>
        <w:t>3.1</w:t>
      </w:r>
      <w:r>
        <w:rPr>
          <w:rFonts w:hint="eastAsia" w:ascii="Times New Roman" w:hAnsi="Times New Roman" w:cs="Times New Roman"/>
          <w:szCs w:val="21"/>
        </w:rPr>
        <w:t>0</w:t>
      </w:r>
      <w:r>
        <w:rPr>
          <w:rFonts w:ascii="Times New Roman" w:hAnsi="Times New Roman" w:cs="Times New Roman"/>
          <w:szCs w:val="21"/>
        </w:rPr>
        <w:t xml:space="preserve"> 药学服务 Pharmaceutical Service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_Toc23729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15C005CC">
      <w:pPr>
        <w:pStyle w:val="12"/>
        <w:tabs>
          <w:tab w:val="right" w:leader="dot" w:pos="8312"/>
        </w:tabs>
        <w:ind w:firstLine="420"/>
        <w:rPr>
          <w:rFonts w:ascii="Times New Roman" w:hAnsi="Times New Roman" w:cs="Times New Roman"/>
        </w:rPr>
      </w:pPr>
      <w:r>
        <w:fldChar w:fldCharType="begin"/>
      </w:r>
      <w:r>
        <w:instrText xml:space="preserve"> HYPERLINK \l "_Toc19708" </w:instrText>
      </w:r>
      <w:r>
        <w:fldChar w:fldCharType="separate"/>
      </w:r>
      <w:r>
        <w:rPr>
          <w:rFonts w:ascii="Times New Roman" w:hAnsi="Times New Roman" w:cs="Times New Roman"/>
          <w:szCs w:val="21"/>
        </w:rPr>
        <w:t>3.1</w:t>
      </w:r>
      <w:r>
        <w:rPr>
          <w:rFonts w:hint="eastAsia" w:ascii="Times New Roman" w:hAnsi="Times New Roman" w:cs="Times New Roman"/>
          <w:szCs w:val="21"/>
        </w:rPr>
        <w:t>1</w:t>
      </w:r>
      <w:r>
        <w:rPr>
          <w:rFonts w:ascii="Times New Roman" w:hAnsi="Times New Roman" w:cs="Times New Roman"/>
          <w:szCs w:val="21"/>
        </w:rPr>
        <w:t xml:space="preserve"> 药学会诊 Pharmaceutical Consults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_Toc19708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02AB1A1C">
      <w:pPr>
        <w:pStyle w:val="12"/>
        <w:tabs>
          <w:tab w:val="right" w:leader="dot" w:pos="8312"/>
        </w:tabs>
        <w:ind w:firstLine="420"/>
        <w:rPr>
          <w:rFonts w:ascii="Times New Roman" w:hAnsi="Times New Roman" w:cs="Times New Roman"/>
        </w:rPr>
      </w:pPr>
      <w:r>
        <w:fldChar w:fldCharType="begin"/>
      </w:r>
      <w:r>
        <w:instrText xml:space="preserve"> HYPERLINK \l "_Toc30775" </w:instrText>
      </w:r>
      <w:r>
        <w:fldChar w:fldCharType="separate"/>
      </w:r>
      <w:r>
        <w:rPr>
          <w:rFonts w:ascii="Times New Roman" w:hAnsi="Times New Roman" w:cs="Times New Roman"/>
          <w:szCs w:val="21"/>
        </w:rPr>
        <w:t>3.1</w:t>
      </w:r>
      <w:r>
        <w:rPr>
          <w:rFonts w:hint="eastAsia" w:ascii="Times New Roman" w:hAnsi="Times New Roman" w:cs="Times New Roman"/>
          <w:szCs w:val="21"/>
        </w:rPr>
        <w:t>2</w:t>
      </w:r>
      <w:r>
        <w:rPr>
          <w:rFonts w:ascii="Times New Roman" w:hAnsi="Times New Roman" w:cs="Times New Roman"/>
          <w:szCs w:val="21"/>
        </w:rPr>
        <w:t xml:space="preserve"> 药学监护 Pharmaceutical Care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_Toc30775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79156415">
      <w:pPr>
        <w:pStyle w:val="12"/>
        <w:tabs>
          <w:tab w:val="right" w:leader="dot" w:pos="8312"/>
        </w:tabs>
        <w:ind w:firstLine="420"/>
        <w:rPr>
          <w:rFonts w:ascii="Times New Roman" w:hAnsi="Times New Roman" w:cs="Times New Roman"/>
        </w:rPr>
      </w:pPr>
      <w:r>
        <w:fldChar w:fldCharType="begin"/>
      </w:r>
      <w:r>
        <w:instrText xml:space="preserve"> HYPERLINK \l "_Toc1824" </w:instrText>
      </w:r>
      <w:r>
        <w:fldChar w:fldCharType="separate"/>
      </w:r>
      <w:r>
        <w:rPr>
          <w:rFonts w:ascii="Times New Roman" w:hAnsi="Times New Roman" w:cs="Times New Roman"/>
          <w:szCs w:val="21"/>
        </w:rPr>
        <w:t>3.1</w:t>
      </w:r>
      <w:r>
        <w:rPr>
          <w:rFonts w:hint="eastAsia" w:ascii="Times New Roman" w:hAnsi="Times New Roman" w:cs="Times New Roman"/>
          <w:szCs w:val="21"/>
        </w:rPr>
        <w:t>3</w:t>
      </w:r>
      <w:r>
        <w:rPr>
          <w:rFonts w:ascii="Times New Roman" w:hAnsi="Times New Roman" w:cs="Times New Roman"/>
          <w:szCs w:val="21"/>
        </w:rPr>
        <w:t xml:space="preserve"> 药学监护分级 Pharmaceutical Care Classification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_Toc1824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44AD7783">
      <w:pPr>
        <w:pStyle w:val="12"/>
        <w:tabs>
          <w:tab w:val="right" w:leader="dot" w:pos="8312"/>
        </w:tabs>
        <w:ind w:firstLine="420"/>
        <w:rPr>
          <w:rFonts w:ascii="Times New Roman" w:hAnsi="Times New Roman" w:cs="Times New Roman"/>
        </w:rPr>
      </w:pPr>
      <w:r>
        <w:fldChar w:fldCharType="begin"/>
      </w:r>
      <w:r>
        <w:instrText xml:space="preserve"> HYPERLINK \l "_Toc22983" </w:instrText>
      </w:r>
      <w:r>
        <w:fldChar w:fldCharType="separate"/>
      </w:r>
      <w:r>
        <w:rPr>
          <w:rFonts w:ascii="Times New Roman" w:hAnsi="Times New Roman" w:cs="Times New Roman"/>
          <w:szCs w:val="21"/>
        </w:rPr>
        <w:t>3.1</w:t>
      </w:r>
      <w:r>
        <w:rPr>
          <w:rFonts w:hint="eastAsia" w:ascii="Times New Roman" w:hAnsi="Times New Roman" w:cs="Times New Roman"/>
          <w:szCs w:val="21"/>
        </w:rPr>
        <w:t>4</w:t>
      </w:r>
      <w:r>
        <w:rPr>
          <w:rFonts w:ascii="Times New Roman" w:hAnsi="Times New Roman" w:cs="Times New Roman"/>
          <w:szCs w:val="21"/>
        </w:rPr>
        <w:t xml:space="preserve"> 药学监护计划 Pharmaceutical Care Plan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_Toc22983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4DCEAD23">
      <w:pPr>
        <w:pStyle w:val="12"/>
        <w:tabs>
          <w:tab w:val="right" w:leader="dot" w:pos="8312"/>
        </w:tabs>
        <w:ind w:firstLine="420"/>
        <w:rPr>
          <w:rFonts w:ascii="Times New Roman" w:hAnsi="Times New Roman" w:cs="Times New Roman"/>
        </w:rPr>
      </w:pPr>
      <w:r>
        <w:fldChar w:fldCharType="begin"/>
      </w:r>
      <w:r>
        <w:instrText xml:space="preserve"> HYPERLINK \l "_Toc4127" </w:instrText>
      </w:r>
      <w:r>
        <w:fldChar w:fldCharType="separate"/>
      </w:r>
      <w:r>
        <w:rPr>
          <w:rFonts w:ascii="Times New Roman" w:hAnsi="Times New Roman" w:cs="Times New Roman"/>
          <w:szCs w:val="21"/>
        </w:rPr>
        <w:t>3.1</w:t>
      </w:r>
      <w:r>
        <w:rPr>
          <w:rFonts w:hint="eastAsia" w:ascii="Times New Roman" w:hAnsi="Times New Roman" w:cs="Times New Roman"/>
          <w:szCs w:val="21"/>
        </w:rPr>
        <w:t>5</w:t>
      </w:r>
      <w:r>
        <w:rPr>
          <w:rFonts w:ascii="Times New Roman" w:hAnsi="Times New Roman" w:cs="Times New Roman"/>
          <w:szCs w:val="21"/>
        </w:rPr>
        <w:t xml:space="preserve"> 药学评估 Pharmaceutical Evaluation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_Toc4127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0CD4FBAC">
      <w:pPr>
        <w:pStyle w:val="12"/>
        <w:tabs>
          <w:tab w:val="right" w:leader="dot" w:pos="8312"/>
        </w:tabs>
        <w:ind w:firstLine="420"/>
        <w:rPr>
          <w:rFonts w:ascii="Times New Roman" w:hAnsi="Times New Roman" w:cs="Times New Roman"/>
        </w:rPr>
      </w:pPr>
      <w:r>
        <w:fldChar w:fldCharType="begin"/>
      </w:r>
      <w:r>
        <w:instrText xml:space="preserve"> HYPERLINK \l "_Toc7386" </w:instrText>
      </w:r>
      <w:r>
        <w:fldChar w:fldCharType="separate"/>
      </w:r>
      <w:r>
        <w:rPr>
          <w:rFonts w:ascii="Times New Roman" w:hAnsi="Times New Roman" w:cs="Times New Roman"/>
          <w:szCs w:val="21"/>
        </w:rPr>
        <w:t>3.1</w:t>
      </w:r>
      <w:r>
        <w:rPr>
          <w:rFonts w:hint="eastAsia" w:ascii="Times New Roman" w:hAnsi="Times New Roman" w:cs="Times New Roman"/>
          <w:szCs w:val="21"/>
        </w:rPr>
        <w:t>6</w:t>
      </w:r>
      <w:r>
        <w:rPr>
          <w:rFonts w:ascii="Times New Roman" w:hAnsi="Times New Roman" w:cs="Times New Roman"/>
          <w:szCs w:val="21"/>
        </w:rPr>
        <w:t xml:space="preserve"> 用药教育 Patient Education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_Toc7386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61C7B4CC">
      <w:pPr>
        <w:pStyle w:val="12"/>
        <w:tabs>
          <w:tab w:val="right" w:leader="dot" w:pos="8312"/>
        </w:tabs>
        <w:ind w:firstLine="420"/>
        <w:rPr>
          <w:rFonts w:ascii="Times New Roman" w:hAnsi="Times New Roman" w:cs="Times New Roman"/>
        </w:rPr>
      </w:pPr>
      <w:r>
        <w:fldChar w:fldCharType="begin"/>
      </w:r>
      <w:r>
        <w:instrText xml:space="preserve"> HYPERLINK \l "_Toc30545" </w:instrText>
      </w:r>
      <w:r>
        <w:fldChar w:fldCharType="separate"/>
      </w:r>
      <w:r>
        <w:rPr>
          <w:rFonts w:ascii="Times New Roman" w:hAnsi="Times New Roman" w:cs="Times New Roman"/>
          <w:bCs/>
          <w:szCs w:val="21"/>
        </w:rPr>
        <w:t>3.1</w:t>
      </w:r>
      <w:r>
        <w:rPr>
          <w:rFonts w:hint="eastAsia" w:ascii="Times New Roman" w:hAnsi="Times New Roman" w:cs="Times New Roman"/>
          <w:bCs/>
          <w:szCs w:val="21"/>
        </w:rPr>
        <w:t>7</w:t>
      </w:r>
      <w:r>
        <w:rPr>
          <w:rFonts w:ascii="Times New Roman" w:hAnsi="Times New Roman" w:cs="Times New Roman"/>
          <w:bCs/>
          <w:szCs w:val="21"/>
        </w:rPr>
        <w:t xml:space="preserve"> 用药依从性 Medication Adherence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_Toc30545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456FE29B">
      <w:pPr>
        <w:pStyle w:val="19"/>
        <w:tabs>
          <w:tab w:val="right" w:leader="dot" w:pos="8312"/>
          <w:tab w:val="clear" w:pos="0"/>
          <w:tab w:val="clear" w:pos="8302"/>
        </w:tabs>
        <w:rPr>
          <w:rFonts w:ascii="Times New Roman" w:hAnsi="Times New Roman"/>
        </w:rPr>
      </w:pPr>
      <w:r>
        <w:fldChar w:fldCharType="begin"/>
      </w:r>
      <w:r>
        <w:instrText xml:space="preserve"> HYPERLINK \l "_Toc30249" </w:instrText>
      </w:r>
      <w:r>
        <w:fldChar w:fldCharType="separate"/>
      </w:r>
      <w:r>
        <w:rPr>
          <w:rFonts w:ascii="Times New Roman" w:hAnsi="Times New Roman"/>
        </w:rPr>
        <w:t>4. 冠心病住院患者药学监护服务流程图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_Toc30249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70552EBF">
      <w:pPr>
        <w:pStyle w:val="19"/>
        <w:tabs>
          <w:tab w:val="right" w:leader="dot" w:pos="8312"/>
          <w:tab w:val="clear" w:pos="0"/>
          <w:tab w:val="clear" w:pos="8302"/>
        </w:tabs>
        <w:rPr>
          <w:rFonts w:ascii="Times New Roman" w:hAnsi="Times New Roman"/>
        </w:rPr>
      </w:pPr>
      <w:r>
        <w:fldChar w:fldCharType="begin"/>
      </w:r>
      <w:r>
        <w:instrText xml:space="preserve"> HYPERLINK \l "_Toc24152" </w:instrText>
      </w:r>
      <w:r>
        <w:fldChar w:fldCharType="separate"/>
      </w:r>
      <w:r>
        <w:rPr>
          <w:rFonts w:ascii="Times New Roman" w:hAnsi="Times New Roman"/>
        </w:rPr>
        <w:t>5. 冠心病住院患者药学监护服务过程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_Toc24152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14:paraId="0EEF3872">
      <w:pPr>
        <w:pStyle w:val="12"/>
        <w:tabs>
          <w:tab w:val="right" w:leader="dot" w:pos="8312"/>
        </w:tabs>
        <w:ind w:firstLine="420"/>
        <w:rPr>
          <w:rFonts w:ascii="Times New Roman" w:hAnsi="Times New Roman" w:cs="Times New Roman"/>
        </w:rPr>
      </w:pPr>
      <w:r>
        <w:fldChar w:fldCharType="begin"/>
      </w:r>
      <w:r>
        <w:instrText xml:space="preserve"> HYPERLINK \l "_Toc2386" </w:instrText>
      </w:r>
      <w:r>
        <w:fldChar w:fldCharType="separate"/>
      </w:r>
      <w:r>
        <w:rPr>
          <w:rFonts w:ascii="Times New Roman" w:hAnsi="Times New Roman" w:cs="Times New Roman"/>
          <w:szCs w:val="21"/>
        </w:rPr>
        <w:t>5.1 用药相关信息收集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_Toc2386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14:paraId="0A5525FD">
      <w:pPr>
        <w:pStyle w:val="12"/>
        <w:tabs>
          <w:tab w:val="right" w:leader="dot" w:pos="8312"/>
        </w:tabs>
        <w:ind w:firstLine="420"/>
        <w:rPr>
          <w:rFonts w:ascii="Times New Roman" w:hAnsi="Times New Roman" w:cs="Times New Roman"/>
        </w:rPr>
      </w:pPr>
      <w:r>
        <w:fldChar w:fldCharType="begin"/>
      </w:r>
      <w:r>
        <w:instrText xml:space="preserve"> HYPERLINK \l "_Toc26819" </w:instrText>
      </w:r>
      <w:r>
        <w:fldChar w:fldCharType="separate"/>
      </w:r>
      <w:r>
        <w:rPr>
          <w:rFonts w:ascii="Times New Roman" w:hAnsi="Times New Roman" w:cs="Times New Roman"/>
          <w:szCs w:val="21"/>
        </w:rPr>
        <w:t>5.2 初始用药评估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_Toc26819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14:paraId="7F9F13B4">
      <w:pPr>
        <w:pStyle w:val="12"/>
        <w:tabs>
          <w:tab w:val="right" w:leader="dot" w:pos="8312"/>
        </w:tabs>
        <w:ind w:firstLine="420"/>
        <w:rPr>
          <w:rFonts w:ascii="Times New Roman" w:hAnsi="Times New Roman" w:cs="Times New Roman"/>
        </w:rPr>
      </w:pPr>
      <w:r>
        <w:fldChar w:fldCharType="begin"/>
      </w:r>
      <w:r>
        <w:instrText xml:space="preserve"> HYPERLINK \l "_Toc18565" </w:instrText>
      </w:r>
      <w:r>
        <w:fldChar w:fldCharType="separate"/>
      </w:r>
      <w:r>
        <w:rPr>
          <w:rFonts w:ascii="Times New Roman" w:hAnsi="Times New Roman" w:cs="Times New Roman"/>
          <w:szCs w:val="21"/>
        </w:rPr>
        <w:t>5.3 制定药学监护计划</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_Toc18565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14:paraId="14C3D475">
      <w:pPr>
        <w:pStyle w:val="12"/>
        <w:tabs>
          <w:tab w:val="right" w:leader="dot" w:pos="8312"/>
        </w:tabs>
        <w:ind w:firstLine="420"/>
        <w:rPr>
          <w:rFonts w:ascii="Times New Roman" w:hAnsi="Times New Roman" w:cs="Times New Roman"/>
        </w:rPr>
      </w:pPr>
      <w:r>
        <w:fldChar w:fldCharType="begin"/>
      </w:r>
      <w:r>
        <w:instrText xml:space="preserve"> HYPERLINK \l "_Toc4463" </w:instrText>
      </w:r>
      <w:r>
        <w:fldChar w:fldCharType="separate"/>
      </w:r>
      <w:r>
        <w:rPr>
          <w:rFonts w:ascii="Times New Roman" w:hAnsi="Times New Roman" w:cs="Times New Roman"/>
          <w:szCs w:val="21"/>
        </w:rPr>
        <w:t>5.4 药学监护计划要点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_Toc4463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14:paraId="37BA4DEB">
      <w:pPr>
        <w:pStyle w:val="12"/>
        <w:tabs>
          <w:tab w:val="right" w:leader="dot" w:pos="8312"/>
        </w:tabs>
        <w:ind w:firstLine="420"/>
        <w:rPr>
          <w:rFonts w:ascii="Times New Roman" w:hAnsi="Times New Roman" w:cs="Times New Roman"/>
        </w:rPr>
      </w:pPr>
      <w:r>
        <w:fldChar w:fldCharType="begin"/>
      </w:r>
      <w:r>
        <w:instrText xml:space="preserve"> HYPERLINK \l "_Toc5846" </w:instrText>
      </w:r>
      <w:r>
        <w:fldChar w:fldCharType="separate"/>
      </w:r>
      <w:r>
        <w:rPr>
          <w:rFonts w:ascii="Times New Roman" w:hAnsi="Times New Roman" w:cs="Times New Roman"/>
        </w:rPr>
        <w:t xml:space="preserve">5.4.1 </w:t>
      </w:r>
      <w:r>
        <w:rPr>
          <w:rFonts w:hint="eastAsia" w:ascii="Times New Roman" w:hAnsi="Times New Roman" w:cs="Times New Roman"/>
        </w:rPr>
        <w:t>用药</w:t>
      </w:r>
      <w:r>
        <w:rPr>
          <w:rFonts w:ascii="Times New Roman" w:hAnsi="Times New Roman" w:cs="Times New Roman"/>
        </w:rPr>
        <w:t>安全性</w:t>
      </w:r>
      <w:r>
        <w:rPr>
          <w:rFonts w:hint="eastAsia" w:ascii="Times New Roman" w:hAnsi="Times New Roman" w:cs="Times New Roman"/>
        </w:rPr>
        <w:t>监护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_Toc5846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14:paraId="014BF9CE">
      <w:pPr>
        <w:pStyle w:val="12"/>
        <w:tabs>
          <w:tab w:val="right" w:leader="dot" w:pos="8312"/>
        </w:tabs>
        <w:ind w:firstLine="420"/>
        <w:rPr>
          <w:rFonts w:ascii="Times New Roman" w:hAnsi="Times New Roman" w:cs="Times New Roman"/>
        </w:rPr>
      </w:pPr>
      <w:r>
        <w:fldChar w:fldCharType="begin"/>
      </w:r>
      <w:r>
        <w:instrText xml:space="preserve"> HYPERLINK \l "_Toc23586" </w:instrText>
      </w:r>
      <w:r>
        <w:fldChar w:fldCharType="separate"/>
      </w:r>
      <w:r>
        <w:rPr>
          <w:rFonts w:ascii="Times New Roman" w:hAnsi="Times New Roman" w:cs="Times New Roman"/>
        </w:rPr>
        <w:t xml:space="preserve">5.4.2 </w:t>
      </w:r>
      <w:r>
        <w:rPr>
          <w:rFonts w:hint="eastAsia" w:ascii="Times New Roman" w:hAnsi="Times New Roman" w:cs="Times New Roman"/>
        </w:rPr>
        <w:t>用药</w:t>
      </w:r>
      <w:r>
        <w:rPr>
          <w:rFonts w:ascii="Times New Roman" w:hAnsi="Times New Roman" w:cs="Times New Roman"/>
        </w:rPr>
        <w:t>有效性监护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_Toc23586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14:paraId="5ABB079C">
      <w:pPr>
        <w:pStyle w:val="12"/>
        <w:tabs>
          <w:tab w:val="right" w:leader="dot" w:pos="8312"/>
        </w:tabs>
        <w:ind w:firstLine="420"/>
        <w:rPr>
          <w:rFonts w:ascii="Times New Roman" w:hAnsi="Times New Roman" w:cs="Times New Roman"/>
        </w:rPr>
      </w:pPr>
      <w:r>
        <w:fldChar w:fldCharType="begin"/>
      </w:r>
      <w:r>
        <w:instrText xml:space="preserve"> HYPERLINK \l "_Toc27111" </w:instrText>
      </w:r>
      <w:r>
        <w:fldChar w:fldCharType="separate"/>
      </w:r>
      <w:r>
        <w:rPr>
          <w:rFonts w:ascii="Times New Roman" w:hAnsi="Times New Roman" w:cs="Times New Roman"/>
        </w:rPr>
        <w:t>5.4.3 特殊人群监护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_Toc27111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14:paraId="541FD938">
      <w:pPr>
        <w:pStyle w:val="12"/>
        <w:tabs>
          <w:tab w:val="right" w:leader="dot" w:pos="8312"/>
        </w:tabs>
        <w:ind w:firstLine="420"/>
        <w:rPr>
          <w:rFonts w:ascii="Times New Roman" w:hAnsi="Times New Roman" w:cs="Times New Roman"/>
        </w:rPr>
      </w:pPr>
      <w:r>
        <w:fldChar w:fldCharType="begin"/>
      </w:r>
      <w:r>
        <w:instrText xml:space="preserve"> HYPERLINK \l "_Toc19722" </w:instrText>
      </w:r>
      <w:r>
        <w:fldChar w:fldCharType="separate"/>
      </w:r>
      <w:r>
        <w:rPr>
          <w:rFonts w:ascii="Times New Roman" w:hAnsi="Times New Roman" w:cs="Times New Roman"/>
        </w:rPr>
        <w:t>5.4.4 特殊合并症人群监护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_Toc19722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14:paraId="64DD0DB6">
      <w:pPr>
        <w:pStyle w:val="12"/>
        <w:tabs>
          <w:tab w:val="right" w:leader="dot" w:pos="8312"/>
        </w:tabs>
        <w:ind w:firstLine="420"/>
        <w:rPr>
          <w:rFonts w:ascii="Times New Roman" w:hAnsi="Times New Roman" w:cs="Times New Roman"/>
        </w:rPr>
      </w:pPr>
      <w:r>
        <w:fldChar w:fldCharType="begin"/>
      </w:r>
      <w:r>
        <w:instrText xml:space="preserve"> HYPERLINK \l "_Toc19967" </w:instrText>
      </w:r>
      <w:r>
        <w:fldChar w:fldCharType="separate"/>
      </w:r>
      <w:r>
        <w:rPr>
          <w:rFonts w:ascii="Times New Roman" w:hAnsi="Times New Roman" w:cs="Times New Roman"/>
        </w:rPr>
        <w:t>5.4.5 用药经济性监护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_Toc19967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14:paraId="0F63ED31">
      <w:pPr>
        <w:pStyle w:val="12"/>
        <w:tabs>
          <w:tab w:val="right" w:leader="dot" w:pos="8312"/>
        </w:tabs>
        <w:ind w:firstLine="420"/>
        <w:rPr>
          <w:rFonts w:ascii="Times New Roman" w:hAnsi="Times New Roman" w:cs="Times New Roman"/>
        </w:rPr>
      </w:pPr>
      <w:r>
        <w:fldChar w:fldCharType="begin"/>
      </w:r>
      <w:r>
        <w:instrText xml:space="preserve"> HYPERLINK \l "_Toc7411" </w:instrText>
      </w:r>
      <w:r>
        <w:fldChar w:fldCharType="separate"/>
      </w:r>
      <w:r>
        <w:rPr>
          <w:rFonts w:ascii="Times New Roman" w:hAnsi="Times New Roman" w:cs="Times New Roman"/>
        </w:rPr>
        <w:t>5.4.6 用药依从性监护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_Toc7411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14:paraId="078F1DC3">
      <w:pPr>
        <w:pStyle w:val="12"/>
        <w:tabs>
          <w:tab w:val="right" w:leader="dot" w:pos="8312"/>
        </w:tabs>
        <w:ind w:firstLine="420"/>
        <w:rPr>
          <w:rFonts w:ascii="Times New Roman" w:hAnsi="Times New Roman" w:cs="Times New Roman"/>
        </w:rPr>
      </w:pPr>
      <w:r>
        <w:fldChar w:fldCharType="begin"/>
      </w:r>
      <w:r>
        <w:instrText xml:space="preserve"> HYPERLINK \l "_Toc2001" </w:instrText>
      </w:r>
      <w:r>
        <w:fldChar w:fldCharType="separate"/>
      </w:r>
      <w:r>
        <w:rPr>
          <w:rFonts w:ascii="Times New Roman" w:hAnsi="Times New Roman" w:cs="Times New Roman"/>
        </w:rPr>
        <w:t>5.5 实施药学监护计划</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_Toc2001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14:paraId="187574B8">
      <w:pPr>
        <w:pStyle w:val="12"/>
        <w:tabs>
          <w:tab w:val="right" w:leader="dot" w:pos="8312"/>
        </w:tabs>
        <w:ind w:firstLine="420"/>
        <w:rPr>
          <w:rFonts w:ascii="Times New Roman" w:hAnsi="Times New Roman" w:cs="Times New Roman"/>
        </w:rPr>
      </w:pPr>
      <w:r>
        <w:fldChar w:fldCharType="begin"/>
      </w:r>
      <w:r>
        <w:instrText xml:space="preserve"> HYPERLINK \l "_Toc6262" </w:instrText>
      </w:r>
      <w:r>
        <w:fldChar w:fldCharType="separate"/>
      </w:r>
      <w:r>
        <w:rPr>
          <w:rFonts w:ascii="Times New Roman" w:hAnsi="Times New Roman" w:cs="Times New Roman"/>
        </w:rPr>
        <w:t>5.6 药物治疗方案调整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_Toc6262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14:paraId="6D0B7721">
      <w:pPr>
        <w:pStyle w:val="12"/>
        <w:tabs>
          <w:tab w:val="right" w:leader="dot" w:pos="8312"/>
        </w:tabs>
        <w:ind w:firstLine="420"/>
        <w:rPr>
          <w:rFonts w:ascii="Times New Roman" w:hAnsi="Times New Roman" w:cs="Times New Roman"/>
        </w:rPr>
      </w:pPr>
      <w:r>
        <w:fldChar w:fldCharType="begin"/>
      </w:r>
      <w:r>
        <w:instrText xml:space="preserve"> HYPERLINK \l "_Toc10620" </w:instrText>
      </w:r>
      <w:r>
        <w:fldChar w:fldCharType="separate"/>
      </w:r>
      <w:r>
        <w:rPr>
          <w:rFonts w:ascii="Times New Roman" w:hAnsi="Times New Roman" w:cs="Times New Roman"/>
        </w:rPr>
        <w:t>5.7 用药教育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_Toc10620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14:paraId="6BE62758">
      <w:pPr>
        <w:pStyle w:val="12"/>
        <w:tabs>
          <w:tab w:val="right" w:leader="dot" w:pos="8312"/>
        </w:tabs>
        <w:ind w:firstLine="420"/>
        <w:rPr>
          <w:rFonts w:ascii="Times New Roman" w:hAnsi="Times New Roman" w:cs="Times New Roman"/>
        </w:rPr>
      </w:pPr>
      <w:r>
        <w:fldChar w:fldCharType="begin"/>
      </w:r>
      <w:r>
        <w:instrText xml:space="preserve"> HYPERLINK \l "_Toc18808" </w:instrText>
      </w:r>
      <w:r>
        <w:fldChar w:fldCharType="separate"/>
      </w:r>
      <w:r>
        <w:rPr>
          <w:rFonts w:ascii="Times New Roman" w:hAnsi="Times New Roman" w:cs="Times New Roman"/>
        </w:rPr>
        <w:t>5.7.1 疾病相关教育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_Toc18808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14:paraId="77804CA2">
      <w:pPr>
        <w:pStyle w:val="12"/>
        <w:tabs>
          <w:tab w:val="right" w:leader="dot" w:pos="8312"/>
        </w:tabs>
        <w:ind w:firstLine="420"/>
        <w:rPr>
          <w:rFonts w:ascii="Times New Roman" w:hAnsi="Times New Roman" w:cs="Times New Roman"/>
        </w:rPr>
      </w:pPr>
      <w:r>
        <w:fldChar w:fldCharType="begin"/>
      </w:r>
      <w:r>
        <w:instrText xml:space="preserve"> HYPERLINK \l "_Toc23693" </w:instrText>
      </w:r>
      <w:r>
        <w:fldChar w:fldCharType="separate"/>
      </w:r>
      <w:r>
        <w:rPr>
          <w:rFonts w:ascii="Times New Roman" w:hAnsi="Times New Roman" w:cs="Times New Roman"/>
          <w:bCs/>
        </w:rPr>
        <w:t>5.7</w:t>
      </w:r>
      <w:r>
        <w:rPr>
          <w:rFonts w:ascii="Times New Roman" w:hAnsi="Times New Roman" w:cs="Times New Roman"/>
        </w:rPr>
        <w:t>.2 治疗药物教育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_Toc23693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14:paraId="1008D1D3">
      <w:pPr>
        <w:pStyle w:val="12"/>
        <w:tabs>
          <w:tab w:val="right" w:leader="dot" w:pos="8312"/>
        </w:tabs>
        <w:ind w:firstLine="420"/>
        <w:rPr>
          <w:rFonts w:ascii="Times New Roman" w:hAnsi="Times New Roman" w:cs="Times New Roman"/>
        </w:rPr>
      </w:pPr>
      <w:r>
        <w:fldChar w:fldCharType="begin"/>
      </w:r>
      <w:r>
        <w:instrText xml:space="preserve"> HYPERLINK \l "_Toc17828" </w:instrText>
      </w:r>
      <w:r>
        <w:fldChar w:fldCharType="separate"/>
      </w:r>
      <w:r>
        <w:rPr>
          <w:rFonts w:ascii="Times New Roman" w:hAnsi="Times New Roman" w:cs="Times New Roman"/>
        </w:rPr>
        <w:t>5.7.3 定期监测的指标与复查周期</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_Toc17828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14:paraId="3D663F94">
      <w:pPr>
        <w:pStyle w:val="12"/>
        <w:tabs>
          <w:tab w:val="right" w:leader="dot" w:pos="8312"/>
        </w:tabs>
        <w:ind w:firstLine="420"/>
        <w:rPr>
          <w:rFonts w:ascii="Times New Roman" w:hAnsi="Times New Roman" w:cs="Times New Roman"/>
        </w:rPr>
      </w:pPr>
      <w:r>
        <w:fldChar w:fldCharType="begin"/>
      </w:r>
      <w:r>
        <w:instrText xml:space="preserve"> HYPERLINK \l "_Toc28936" </w:instrText>
      </w:r>
      <w:r>
        <w:fldChar w:fldCharType="separate"/>
      </w:r>
      <w:r>
        <w:rPr>
          <w:rFonts w:ascii="Times New Roman" w:hAnsi="Times New Roman" w:cs="Times New Roman"/>
        </w:rPr>
        <w:t>5.7.4 生活方式及注意事项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_Toc28936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14:paraId="16A1E5E3">
      <w:pPr>
        <w:pStyle w:val="12"/>
        <w:tabs>
          <w:tab w:val="right" w:leader="dot" w:pos="8312"/>
        </w:tabs>
        <w:ind w:firstLine="420"/>
        <w:rPr>
          <w:rFonts w:ascii="Times New Roman" w:hAnsi="Times New Roman" w:cs="Times New Roman"/>
        </w:rPr>
      </w:pPr>
      <w:r>
        <w:fldChar w:fldCharType="begin"/>
      </w:r>
      <w:r>
        <w:instrText xml:space="preserve"> HYPERLINK \l "_Toc4563" </w:instrText>
      </w:r>
      <w:r>
        <w:fldChar w:fldCharType="separate"/>
      </w:r>
      <w:r>
        <w:rPr>
          <w:rFonts w:ascii="Times New Roman" w:hAnsi="Times New Roman" w:cs="Times New Roman"/>
          <w:szCs w:val="21"/>
        </w:rPr>
        <w:t>5.8 出院随访</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_Toc4563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14:paraId="5BFCF620">
      <w:pPr>
        <w:pStyle w:val="18"/>
        <w:tabs>
          <w:tab w:val="right" w:leader="dot" w:pos="8312"/>
        </w:tabs>
        <w:rPr>
          <w:rFonts w:ascii="Times New Roman"/>
          <w:b w:val="0"/>
          <w:bCs w:val="0"/>
        </w:rPr>
      </w:pPr>
      <w:r>
        <w:fldChar w:fldCharType="begin"/>
      </w:r>
      <w:r>
        <w:instrText xml:space="preserve"> HYPERLINK \l "_Toc450" </w:instrText>
      </w:r>
      <w:r>
        <w:fldChar w:fldCharType="separate"/>
      </w:r>
      <w:r>
        <w:rPr>
          <w:rFonts w:ascii="Times New Roman"/>
          <w:b w:val="0"/>
          <w:bCs w:val="0"/>
        </w:rPr>
        <w:t>附录A</w:t>
      </w:r>
      <w:r>
        <w:rPr>
          <w:rFonts w:ascii="Times New Roman"/>
          <w:b w:val="0"/>
          <w:bCs w:val="0"/>
        </w:rPr>
        <w:fldChar w:fldCharType="end"/>
      </w:r>
      <w:r>
        <w:fldChar w:fldCharType="begin"/>
      </w:r>
      <w:r>
        <w:instrText xml:space="preserve"> HYPERLINK \l "_Toc18802" </w:instrText>
      </w:r>
      <w:r>
        <w:fldChar w:fldCharType="separate"/>
      </w:r>
      <w:r>
        <w:rPr>
          <w:rFonts w:ascii="Times New Roman"/>
          <w:b w:val="0"/>
          <w:bCs w:val="0"/>
        </w:rPr>
        <w:t>（</w:t>
      </w:r>
      <w:r>
        <w:rPr>
          <w:rFonts w:hint="eastAsia" w:ascii="Times New Roman"/>
          <w:b w:val="0"/>
          <w:bCs w:val="0"/>
        </w:rPr>
        <w:t>资料性</w:t>
      </w:r>
      <w:r>
        <w:rPr>
          <w:rFonts w:ascii="Times New Roman"/>
          <w:b w:val="0"/>
          <w:bCs w:val="0"/>
        </w:rPr>
        <w:t>）</w:t>
      </w:r>
      <w:r>
        <w:rPr>
          <w:rFonts w:ascii="Times New Roman"/>
          <w:b w:val="0"/>
          <w:bCs w:val="0"/>
        </w:rPr>
        <w:fldChar w:fldCharType="end"/>
      </w:r>
      <w:r>
        <w:fldChar w:fldCharType="begin"/>
      </w:r>
      <w:r>
        <w:instrText xml:space="preserve"> HYPERLINK \l "_Toc16537" </w:instrText>
      </w:r>
      <w:r>
        <w:fldChar w:fldCharType="separate"/>
      </w:r>
      <w:r>
        <w:rPr>
          <w:rFonts w:ascii="Times New Roman"/>
          <w:b w:val="0"/>
          <w:bCs w:val="0"/>
        </w:rPr>
        <w:t>冠心病住院患者药历</w:t>
      </w:r>
      <w:r>
        <w:rPr>
          <w:rFonts w:ascii="Times New Roman"/>
          <w:b w:val="0"/>
          <w:bCs w:val="0"/>
        </w:rPr>
        <w:tab/>
      </w:r>
      <w:r>
        <w:rPr>
          <w:rFonts w:ascii="Times New Roman"/>
          <w:b w:val="0"/>
          <w:bCs w:val="0"/>
        </w:rPr>
        <w:fldChar w:fldCharType="begin"/>
      </w:r>
      <w:r>
        <w:rPr>
          <w:rFonts w:ascii="Times New Roman"/>
          <w:b w:val="0"/>
          <w:bCs w:val="0"/>
        </w:rPr>
        <w:instrText xml:space="preserve"> PAGEREF _Toc16537 \h </w:instrText>
      </w:r>
      <w:r>
        <w:rPr>
          <w:rFonts w:ascii="Times New Roman"/>
          <w:b w:val="0"/>
          <w:bCs w:val="0"/>
        </w:rPr>
        <w:fldChar w:fldCharType="separate"/>
      </w:r>
      <w:r>
        <w:rPr>
          <w:rFonts w:ascii="Times New Roman"/>
          <w:b w:val="0"/>
          <w:bCs w:val="0"/>
        </w:rPr>
        <w:t>19</w:t>
      </w:r>
      <w:r>
        <w:rPr>
          <w:rFonts w:ascii="Times New Roman"/>
          <w:b w:val="0"/>
          <w:bCs w:val="0"/>
        </w:rPr>
        <w:fldChar w:fldCharType="end"/>
      </w:r>
      <w:r>
        <w:rPr>
          <w:rFonts w:ascii="Times New Roman"/>
          <w:b w:val="0"/>
          <w:bCs w:val="0"/>
        </w:rPr>
        <w:fldChar w:fldCharType="end"/>
      </w:r>
    </w:p>
    <w:p w14:paraId="127B2077">
      <w:pPr>
        <w:pStyle w:val="18"/>
        <w:tabs>
          <w:tab w:val="right" w:leader="dot" w:pos="8312"/>
        </w:tabs>
        <w:rPr>
          <w:rFonts w:ascii="Times New Roman"/>
          <w:b w:val="0"/>
          <w:bCs w:val="0"/>
        </w:rPr>
      </w:pPr>
      <w:r>
        <w:fldChar w:fldCharType="begin"/>
      </w:r>
      <w:r>
        <w:instrText xml:space="preserve"> HYPERLINK \l "_Toc29293" </w:instrText>
      </w:r>
      <w:r>
        <w:fldChar w:fldCharType="separate"/>
      </w:r>
      <w:r>
        <w:rPr>
          <w:rFonts w:ascii="Times New Roman"/>
          <w:b w:val="0"/>
          <w:bCs w:val="0"/>
        </w:rPr>
        <w:t>附录B</w:t>
      </w:r>
      <w:r>
        <w:rPr>
          <w:rFonts w:ascii="Times New Roman"/>
          <w:b w:val="0"/>
          <w:bCs w:val="0"/>
        </w:rPr>
        <w:fldChar w:fldCharType="end"/>
      </w:r>
      <w:r>
        <w:fldChar w:fldCharType="begin"/>
      </w:r>
      <w:r>
        <w:instrText xml:space="preserve"> HYPERLINK \l "_Toc20806" </w:instrText>
      </w:r>
      <w:r>
        <w:fldChar w:fldCharType="separate"/>
      </w:r>
      <w:r>
        <w:rPr>
          <w:rFonts w:ascii="Times New Roman"/>
          <w:b w:val="0"/>
          <w:bCs w:val="0"/>
        </w:rPr>
        <w:t>（</w:t>
      </w:r>
      <w:r>
        <w:rPr>
          <w:rFonts w:hint="eastAsia" w:ascii="Times New Roman"/>
          <w:b w:val="0"/>
          <w:bCs w:val="0"/>
        </w:rPr>
        <w:t>资料性</w:t>
      </w:r>
      <w:r>
        <w:rPr>
          <w:rFonts w:ascii="Times New Roman"/>
          <w:b w:val="0"/>
          <w:bCs w:val="0"/>
        </w:rPr>
        <w:t>）</w:t>
      </w:r>
      <w:r>
        <w:rPr>
          <w:rFonts w:ascii="Times New Roman"/>
          <w:b w:val="0"/>
          <w:bCs w:val="0"/>
        </w:rPr>
        <w:fldChar w:fldCharType="end"/>
      </w:r>
      <w:r>
        <w:fldChar w:fldCharType="begin"/>
      </w:r>
      <w:r>
        <w:instrText xml:space="preserve"> HYPERLINK \l "_Toc26924" </w:instrText>
      </w:r>
      <w:r>
        <w:fldChar w:fldCharType="separate"/>
      </w:r>
      <w:r>
        <w:rPr>
          <w:rFonts w:ascii="Times New Roman"/>
          <w:b w:val="0"/>
          <w:bCs w:val="0"/>
        </w:rPr>
        <w:t>药学监护分级标准</w:t>
      </w:r>
      <w:r>
        <w:rPr>
          <w:rFonts w:ascii="Times New Roman"/>
          <w:b w:val="0"/>
          <w:bCs w:val="0"/>
        </w:rPr>
        <w:tab/>
      </w:r>
      <w:r>
        <w:rPr>
          <w:rFonts w:ascii="Times New Roman"/>
          <w:b w:val="0"/>
          <w:bCs w:val="0"/>
        </w:rPr>
        <w:fldChar w:fldCharType="begin"/>
      </w:r>
      <w:r>
        <w:rPr>
          <w:rFonts w:ascii="Times New Roman"/>
          <w:b w:val="0"/>
          <w:bCs w:val="0"/>
        </w:rPr>
        <w:instrText xml:space="preserve"> PAGEREF _Toc26924 \h </w:instrText>
      </w:r>
      <w:r>
        <w:rPr>
          <w:rFonts w:ascii="Times New Roman"/>
          <w:b w:val="0"/>
          <w:bCs w:val="0"/>
        </w:rPr>
        <w:fldChar w:fldCharType="separate"/>
      </w:r>
      <w:r>
        <w:rPr>
          <w:rFonts w:ascii="Times New Roman"/>
          <w:b w:val="0"/>
          <w:bCs w:val="0"/>
        </w:rPr>
        <w:t>22</w:t>
      </w:r>
      <w:r>
        <w:rPr>
          <w:rFonts w:ascii="Times New Roman"/>
          <w:b w:val="0"/>
          <w:bCs w:val="0"/>
        </w:rPr>
        <w:fldChar w:fldCharType="end"/>
      </w:r>
      <w:r>
        <w:rPr>
          <w:rFonts w:ascii="Times New Roman"/>
          <w:b w:val="0"/>
          <w:bCs w:val="0"/>
        </w:rPr>
        <w:fldChar w:fldCharType="end"/>
      </w:r>
    </w:p>
    <w:p w14:paraId="18992BDB">
      <w:pPr>
        <w:pStyle w:val="18"/>
        <w:tabs>
          <w:tab w:val="right" w:leader="dot" w:pos="8312"/>
        </w:tabs>
        <w:rPr>
          <w:rFonts w:ascii="Times New Roman"/>
          <w:b w:val="0"/>
          <w:bCs w:val="0"/>
        </w:rPr>
      </w:pPr>
      <w:r>
        <w:fldChar w:fldCharType="begin"/>
      </w:r>
      <w:r>
        <w:instrText xml:space="preserve"> HYPERLINK \l "_Toc4058" </w:instrText>
      </w:r>
      <w:r>
        <w:fldChar w:fldCharType="separate"/>
      </w:r>
      <w:r>
        <w:rPr>
          <w:rFonts w:ascii="Times New Roman"/>
          <w:b w:val="0"/>
          <w:bCs w:val="0"/>
        </w:rPr>
        <w:t>附录C</w:t>
      </w:r>
      <w:r>
        <w:rPr>
          <w:rFonts w:ascii="Times New Roman"/>
          <w:b w:val="0"/>
          <w:bCs w:val="0"/>
        </w:rPr>
        <w:fldChar w:fldCharType="end"/>
      </w:r>
      <w:r>
        <w:fldChar w:fldCharType="begin"/>
      </w:r>
      <w:r>
        <w:instrText xml:space="preserve"> HYPERLINK \l "_Toc28057" </w:instrText>
      </w:r>
      <w:r>
        <w:fldChar w:fldCharType="separate"/>
      </w:r>
      <w:r>
        <w:rPr>
          <w:rFonts w:ascii="Times New Roman"/>
          <w:b w:val="0"/>
          <w:bCs w:val="0"/>
        </w:rPr>
        <w:t>（资料性）</w:t>
      </w:r>
      <w:r>
        <w:rPr>
          <w:rFonts w:ascii="Times New Roman"/>
          <w:b w:val="0"/>
          <w:bCs w:val="0"/>
        </w:rPr>
        <w:fldChar w:fldCharType="end"/>
      </w:r>
      <w:r>
        <w:fldChar w:fldCharType="begin"/>
      </w:r>
      <w:r>
        <w:instrText xml:space="preserve"> HYPERLINK \l "_Toc18483" </w:instrText>
      </w:r>
      <w:r>
        <w:fldChar w:fldCharType="separate"/>
      </w:r>
      <w:r>
        <w:rPr>
          <w:rFonts w:ascii="Times New Roman"/>
          <w:b w:val="0"/>
          <w:bCs w:val="0"/>
        </w:rPr>
        <w:t>老年冠心病患者潜在不适当用药目录</w:t>
      </w:r>
      <w:r>
        <w:rPr>
          <w:rFonts w:ascii="Times New Roman"/>
          <w:b w:val="0"/>
          <w:bCs w:val="0"/>
        </w:rPr>
        <w:tab/>
      </w:r>
      <w:r>
        <w:rPr>
          <w:rFonts w:ascii="Times New Roman"/>
          <w:b w:val="0"/>
          <w:bCs w:val="0"/>
        </w:rPr>
        <w:fldChar w:fldCharType="begin"/>
      </w:r>
      <w:r>
        <w:rPr>
          <w:rFonts w:ascii="Times New Roman"/>
          <w:b w:val="0"/>
          <w:bCs w:val="0"/>
        </w:rPr>
        <w:instrText xml:space="preserve"> PAGEREF _Toc18483 \h </w:instrText>
      </w:r>
      <w:r>
        <w:rPr>
          <w:rFonts w:ascii="Times New Roman"/>
          <w:b w:val="0"/>
          <w:bCs w:val="0"/>
        </w:rPr>
        <w:fldChar w:fldCharType="separate"/>
      </w:r>
      <w:r>
        <w:rPr>
          <w:rFonts w:ascii="Times New Roman"/>
          <w:b w:val="0"/>
          <w:bCs w:val="0"/>
        </w:rPr>
        <w:t>24</w:t>
      </w:r>
      <w:r>
        <w:rPr>
          <w:rFonts w:ascii="Times New Roman"/>
          <w:b w:val="0"/>
          <w:bCs w:val="0"/>
        </w:rPr>
        <w:fldChar w:fldCharType="end"/>
      </w:r>
      <w:r>
        <w:rPr>
          <w:rFonts w:ascii="Times New Roman"/>
          <w:b w:val="0"/>
          <w:bCs w:val="0"/>
        </w:rPr>
        <w:fldChar w:fldCharType="end"/>
      </w:r>
    </w:p>
    <w:p w14:paraId="473433FE">
      <w:pPr>
        <w:pStyle w:val="18"/>
        <w:tabs>
          <w:tab w:val="right" w:leader="dot" w:pos="8312"/>
        </w:tabs>
        <w:rPr>
          <w:rFonts w:ascii="Times New Roman"/>
          <w:b w:val="0"/>
          <w:bCs w:val="0"/>
        </w:rPr>
      </w:pPr>
      <w:r>
        <w:fldChar w:fldCharType="begin"/>
      </w:r>
      <w:r>
        <w:instrText xml:space="preserve"> HYPERLINK \l "_Toc24915" </w:instrText>
      </w:r>
      <w:r>
        <w:fldChar w:fldCharType="separate"/>
      </w:r>
      <w:r>
        <w:rPr>
          <w:rFonts w:ascii="Times New Roman"/>
          <w:b w:val="0"/>
          <w:bCs w:val="0"/>
        </w:rPr>
        <w:t>附录D</w:t>
      </w:r>
      <w:r>
        <w:rPr>
          <w:rFonts w:ascii="Times New Roman"/>
          <w:b w:val="0"/>
          <w:bCs w:val="0"/>
        </w:rPr>
        <w:fldChar w:fldCharType="end"/>
      </w:r>
      <w:r>
        <w:fldChar w:fldCharType="begin"/>
      </w:r>
      <w:r>
        <w:instrText xml:space="preserve"> HYPERLINK \l "_Toc19932" </w:instrText>
      </w:r>
      <w:r>
        <w:fldChar w:fldCharType="separate"/>
      </w:r>
      <w:r>
        <w:rPr>
          <w:rFonts w:ascii="Times New Roman"/>
          <w:b w:val="0"/>
          <w:bCs w:val="0"/>
        </w:rPr>
        <w:t>（资料性）</w:t>
      </w:r>
      <w:r>
        <w:rPr>
          <w:rFonts w:ascii="Times New Roman"/>
          <w:b w:val="0"/>
          <w:bCs w:val="0"/>
        </w:rPr>
        <w:fldChar w:fldCharType="end"/>
      </w:r>
      <w:r>
        <w:fldChar w:fldCharType="begin"/>
      </w:r>
      <w:r>
        <w:instrText xml:space="preserve"> HYPERLINK \l "_Toc2165" </w:instrText>
      </w:r>
      <w:r>
        <w:fldChar w:fldCharType="separate"/>
      </w:r>
      <w:r>
        <w:rPr>
          <w:rFonts w:ascii="Times New Roman"/>
          <w:b w:val="0"/>
          <w:bCs w:val="0"/>
        </w:rPr>
        <w:t>老年冠心病患者药物-药物相互作用表</w:t>
      </w:r>
      <w:r>
        <w:rPr>
          <w:rFonts w:ascii="Times New Roman"/>
          <w:b w:val="0"/>
          <w:bCs w:val="0"/>
        </w:rPr>
        <w:tab/>
      </w:r>
      <w:r>
        <w:rPr>
          <w:rFonts w:ascii="Times New Roman"/>
          <w:b w:val="0"/>
          <w:bCs w:val="0"/>
        </w:rPr>
        <w:fldChar w:fldCharType="begin"/>
      </w:r>
      <w:r>
        <w:rPr>
          <w:rFonts w:ascii="Times New Roman"/>
          <w:b w:val="0"/>
          <w:bCs w:val="0"/>
        </w:rPr>
        <w:instrText xml:space="preserve"> PAGEREF _Toc2165 \h </w:instrText>
      </w:r>
      <w:r>
        <w:rPr>
          <w:rFonts w:ascii="Times New Roman"/>
          <w:b w:val="0"/>
          <w:bCs w:val="0"/>
        </w:rPr>
        <w:fldChar w:fldCharType="separate"/>
      </w:r>
      <w:r>
        <w:rPr>
          <w:rFonts w:ascii="Times New Roman"/>
          <w:b w:val="0"/>
          <w:bCs w:val="0"/>
        </w:rPr>
        <w:t>26</w:t>
      </w:r>
      <w:r>
        <w:rPr>
          <w:rFonts w:ascii="Times New Roman"/>
          <w:b w:val="0"/>
          <w:bCs w:val="0"/>
        </w:rPr>
        <w:fldChar w:fldCharType="end"/>
      </w:r>
      <w:r>
        <w:rPr>
          <w:rFonts w:ascii="Times New Roman"/>
          <w:b w:val="0"/>
          <w:bCs w:val="0"/>
        </w:rPr>
        <w:fldChar w:fldCharType="end"/>
      </w:r>
    </w:p>
    <w:p w14:paraId="38BB8365">
      <w:pPr>
        <w:pStyle w:val="18"/>
        <w:tabs>
          <w:tab w:val="right" w:leader="dot" w:pos="8312"/>
        </w:tabs>
        <w:rPr>
          <w:rFonts w:ascii="Times New Roman"/>
          <w:b w:val="0"/>
          <w:bCs w:val="0"/>
        </w:rPr>
      </w:pPr>
      <w:r>
        <w:fldChar w:fldCharType="begin"/>
      </w:r>
      <w:r>
        <w:instrText xml:space="preserve"> HYPERLINK \l "_Toc8253" </w:instrText>
      </w:r>
      <w:r>
        <w:fldChar w:fldCharType="separate"/>
      </w:r>
      <w:r>
        <w:rPr>
          <w:rFonts w:ascii="Times New Roman"/>
          <w:b w:val="0"/>
          <w:bCs w:val="0"/>
        </w:rPr>
        <w:t>附录E</w:t>
      </w:r>
      <w:r>
        <w:rPr>
          <w:rFonts w:ascii="Times New Roman"/>
          <w:b w:val="0"/>
          <w:bCs w:val="0"/>
        </w:rPr>
        <w:fldChar w:fldCharType="end"/>
      </w:r>
      <w:r>
        <w:fldChar w:fldCharType="begin"/>
      </w:r>
      <w:r>
        <w:instrText xml:space="preserve"> HYPERLINK \l "_Toc27037" </w:instrText>
      </w:r>
      <w:r>
        <w:fldChar w:fldCharType="separate"/>
      </w:r>
      <w:r>
        <w:rPr>
          <w:rFonts w:ascii="Times New Roman"/>
          <w:b w:val="0"/>
          <w:bCs w:val="0"/>
        </w:rPr>
        <w:t>（资料性）</w:t>
      </w:r>
      <w:r>
        <w:rPr>
          <w:rFonts w:ascii="Times New Roman"/>
          <w:b w:val="0"/>
          <w:bCs w:val="0"/>
        </w:rPr>
        <w:fldChar w:fldCharType="end"/>
      </w:r>
      <w:r>
        <w:fldChar w:fldCharType="begin"/>
      </w:r>
      <w:r>
        <w:instrText xml:space="preserve"> HYPERLINK \l "_Toc25864" </w:instrText>
      </w:r>
      <w:r>
        <w:fldChar w:fldCharType="separate"/>
      </w:r>
      <w:r>
        <w:rPr>
          <w:rFonts w:ascii="Times New Roman"/>
          <w:b w:val="0"/>
          <w:bCs w:val="0"/>
        </w:rPr>
        <w:t>老年冠心病患者高风险药物替代方案</w:t>
      </w:r>
      <w:r>
        <w:rPr>
          <w:rFonts w:ascii="Times New Roman"/>
          <w:b w:val="0"/>
          <w:bCs w:val="0"/>
        </w:rPr>
        <w:tab/>
      </w:r>
      <w:r>
        <w:rPr>
          <w:rFonts w:ascii="Times New Roman"/>
          <w:b w:val="0"/>
          <w:bCs w:val="0"/>
        </w:rPr>
        <w:fldChar w:fldCharType="begin"/>
      </w:r>
      <w:r>
        <w:rPr>
          <w:rFonts w:ascii="Times New Roman"/>
          <w:b w:val="0"/>
          <w:bCs w:val="0"/>
        </w:rPr>
        <w:instrText xml:space="preserve"> PAGEREF _Toc25864 \h </w:instrText>
      </w:r>
      <w:r>
        <w:rPr>
          <w:rFonts w:ascii="Times New Roman"/>
          <w:b w:val="0"/>
          <w:bCs w:val="0"/>
        </w:rPr>
        <w:fldChar w:fldCharType="separate"/>
      </w:r>
      <w:r>
        <w:rPr>
          <w:rFonts w:ascii="Times New Roman"/>
          <w:b w:val="0"/>
          <w:bCs w:val="0"/>
        </w:rPr>
        <w:t>29</w:t>
      </w:r>
      <w:r>
        <w:rPr>
          <w:rFonts w:ascii="Times New Roman"/>
          <w:b w:val="0"/>
          <w:bCs w:val="0"/>
        </w:rPr>
        <w:fldChar w:fldCharType="end"/>
      </w:r>
      <w:r>
        <w:rPr>
          <w:rFonts w:ascii="Times New Roman"/>
          <w:b w:val="0"/>
          <w:bCs w:val="0"/>
        </w:rPr>
        <w:fldChar w:fldCharType="end"/>
      </w:r>
    </w:p>
    <w:p w14:paraId="0CAC97A8">
      <w:pPr>
        <w:pStyle w:val="18"/>
        <w:tabs>
          <w:tab w:val="right" w:leader="dot" w:pos="8312"/>
        </w:tabs>
        <w:rPr>
          <w:rFonts w:ascii="Times New Roman"/>
          <w:b w:val="0"/>
          <w:bCs w:val="0"/>
        </w:rPr>
      </w:pPr>
      <w:r>
        <w:fldChar w:fldCharType="begin"/>
      </w:r>
      <w:r>
        <w:instrText xml:space="preserve"> HYPERLINK \l "_Toc3857" </w:instrText>
      </w:r>
      <w:r>
        <w:fldChar w:fldCharType="separate"/>
      </w:r>
      <w:r>
        <w:rPr>
          <w:rFonts w:ascii="Times New Roman"/>
          <w:b w:val="0"/>
          <w:bCs w:val="0"/>
        </w:rPr>
        <w:t>附录F</w:t>
      </w:r>
      <w:r>
        <w:rPr>
          <w:rFonts w:ascii="Times New Roman"/>
          <w:b w:val="0"/>
          <w:bCs w:val="0"/>
        </w:rPr>
        <w:fldChar w:fldCharType="end"/>
      </w:r>
      <w:r>
        <w:fldChar w:fldCharType="begin"/>
      </w:r>
      <w:r>
        <w:instrText xml:space="preserve"> HYPERLINK \l "_Toc4930" </w:instrText>
      </w:r>
      <w:r>
        <w:fldChar w:fldCharType="separate"/>
      </w:r>
      <w:r>
        <w:rPr>
          <w:rFonts w:ascii="Times New Roman"/>
          <w:b w:val="0"/>
          <w:bCs w:val="0"/>
        </w:rPr>
        <w:t>（资料性）</w:t>
      </w:r>
      <w:r>
        <w:rPr>
          <w:rFonts w:ascii="Times New Roman"/>
          <w:b w:val="0"/>
          <w:bCs w:val="0"/>
        </w:rPr>
        <w:fldChar w:fldCharType="end"/>
      </w:r>
      <w:r>
        <w:fldChar w:fldCharType="begin"/>
      </w:r>
      <w:r>
        <w:instrText xml:space="preserve"> HYPERLINK \l "_Toc14908" </w:instrText>
      </w:r>
      <w:r>
        <w:fldChar w:fldCharType="separate"/>
      </w:r>
      <w:r>
        <w:rPr>
          <w:rFonts w:ascii="Times New Roman"/>
          <w:b w:val="0"/>
          <w:bCs w:val="0"/>
        </w:rPr>
        <w:t>冠心病及肝肾功能不全患者常用药物剂量一览表</w:t>
      </w:r>
      <w:r>
        <w:rPr>
          <w:rFonts w:ascii="Times New Roman"/>
          <w:b w:val="0"/>
          <w:bCs w:val="0"/>
        </w:rPr>
        <w:tab/>
      </w:r>
      <w:r>
        <w:rPr>
          <w:rFonts w:ascii="Times New Roman"/>
          <w:b w:val="0"/>
          <w:bCs w:val="0"/>
        </w:rPr>
        <w:fldChar w:fldCharType="begin"/>
      </w:r>
      <w:r>
        <w:rPr>
          <w:rFonts w:ascii="Times New Roman"/>
          <w:b w:val="0"/>
          <w:bCs w:val="0"/>
        </w:rPr>
        <w:instrText xml:space="preserve"> PAGEREF _Toc14908 \h </w:instrText>
      </w:r>
      <w:r>
        <w:rPr>
          <w:rFonts w:ascii="Times New Roman"/>
          <w:b w:val="0"/>
          <w:bCs w:val="0"/>
        </w:rPr>
        <w:fldChar w:fldCharType="separate"/>
      </w:r>
      <w:r>
        <w:rPr>
          <w:rFonts w:ascii="Times New Roman"/>
          <w:b w:val="0"/>
          <w:bCs w:val="0"/>
        </w:rPr>
        <w:t>30</w:t>
      </w:r>
      <w:r>
        <w:rPr>
          <w:rFonts w:ascii="Times New Roman"/>
          <w:b w:val="0"/>
          <w:bCs w:val="0"/>
        </w:rPr>
        <w:fldChar w:fldCharType="end"/>
      </w:r>
      <w:r>
        <w:rPr>
          <w:rFonts w:ascii="Times New Roman"/>
          <w:b w:val="0"/>
          <w:bCs w:val="0"/>
        </w:rPr>
        <w:fldChar w:fldCharType="end"/>
      </w:r>
    </w:p>
    <w:p w14:paraId="5442B2F7">
      <w:pPr>
        <w:pStyle w:val="18"/>
        <w:tabs>
          <w:tab w:val="right" w:leader="dot" w:pos="8312"/>
        </w:tabs>
        <w:rPr>
          <w:rFonts w:ascii="Times New Roman"/>
          <w:b w:val="0"/>
          <w:bCs w:val="0"/>
        </w:rPr>
      </w:pPr>
      <w:r>
        <w:fldChar w:fldCharType="begin"/>
      </w:r>
      <w:r>
        <w:instrText xml:space="preserve"> HYPERLINK \l "_Toc15193" </w:instrText>
      </w:r>
      <w:r>
        <w:fldChar w:fldCharType="separate"/>
      </w:r>
      <w:r>
        <w:rPr>
          <w:rFonts w:ascii="Times New Roman"/>
          <w:b w:val="0"/>
          <w:bCs w:val="0"/>
        </w:rPr>
        <w:t>附录G</w:t>
      </w:r>
      <w:r>
        <w:rPr>
          <w:rFonts w:ascii="Times New Roman"/>
          <w:b w:val="0"/>
          <w:bCs w:val="0"/>
        </w:rPr>
        <w:fldChar w:fldCharType="end"/>
      </w:r>
      <w:r>
        <w:fldChar w:fldCharType="begin"/>
      </w:r>
      <w:r>
        <w:instrText xml:space="preserve"> HYPERLINK \l "_Toc25556" </w:instrText>
      </w:r>
      <w:r>
        <w:fldChar w:fldCharType="separate"/>
      </w:r>
      <w:r>
        <w:rPr>
          <w:rFonts w:ascii="Times New Roman"/>
          <w:b w:val="0"/>
          <w:bCs w:val="0"/>
        </w:rPr>
        <w:t>（</w:t>
      </w:r>
      <w:r>
        <w:rPr>
          <w:rFonts w:hint="eastAsia" w:ascii="Times New Roman"/>
          <w:b w:val="0"/>
          <w:bCs w:val="0"/>
        </w:rPr>
        <w:t>资料性</w:t>
      </w:r>
      <w:r>
        <w:rPr>
          <w:rFonts w:ascii="Times New Roman"/>
          <w:b w:val="0"/>
          <w:bCs w:val="0"/>
        </w:rPr>
        <w:t>）</w:t>
      </w:r>
      <w:r>
        <w:rPr>
          <w:rFonts w:ascii="Times New Roman"/>
          <w:b w:val="0"/>
          <w:bCs w:val="0"/>
        </w:rPr>
        <w:fldChar w:fldCharType="end"/>
      </w:r>
      <w:r>
        <w:fldChar w:fldCharType="begin"/>
      </w:r>
      <w:r>
        <w:instrText xml:space="preserve"> HYPERLINK \l "_Toc32035" </w:instrText>
      </w:r>
      <w:r>
        <w:fldChar w:fldCharType="separate"/>
      </w:r>
      <w:r>
        <w:rPr>
          <w:rFonts w:ascii="Times New Roman"/>
          <w:b w:val="0"/>
          <w:bCs w:val="0"/>
        </w:rPr>
        <w:t>冠心病出院患者用药教育表</w:t>
      </w:r>
      <w:r>
        <w:rPr>
          <w:rFonts w:ascii="Times New Roman"/>
          <w:b w:val="0"/>
          <w:bCs w:val="0"/>
        </w:rPr>
        <w:tab/>
      </w:r>
      <w:r>
        <w:rPr>
          <w:rFonts w:ascii="Times New Roman"/>
          <w:b w:val="0"/>
          <w:bCs w:val="0"/>
        </w:rPr>
        <w:fldChar w:fldCharType="begin"/>
      </w:r>
      <w:r>
        <w:rPr>
          <w:rFonts w:ascii="Times New Roman"/>
          <w:b w:val="0"/>
          <w:bCs w:val="0"/>
        </w:rPr>
        <w:instrText xml:space="preserve"> PAGEREF _Toc32035 \h </w:instrText>
      </w:r>
      <w:r>
        <w:rPr>
          <w:rFonts w:ascii="Times New Roman"/>
          <w:b w:val="0"/>
          <w:bCs w:val="0"/>
        </w:rPr>
        <w:fldChar w:fldCharType="separate"/>
      </w:r>
      <w:r>
        <w:rPr>
          <w:rFonts w:ascii="Times New Roman"/>
          <w:b w:val="0"/>
          <w:bCs w:val="0"/>
        </w:rPr>
        <w:t>42</w:t>
      </w:r>
      <w:r>
        <w:rPr>
          <w:rFonts w:ascii="Times New Roman"/>
          <w:b w:val="0"/>
          <w:bCs w:val="0"/>
        </w:rPr>
        <w:fldChar w:fldCharType="end"/>
      </w:r>
      <w:r>
        <w:rPr>
          <w:rFonts w:ascii="Times New Roman"/>
          <w:b w:val="0"/>
          <w:bCs w:val="0"/>
        </w:rPr>
        <w:fldChar w:fldCharType="end"/>
      </w:r>
    </w:p>
    <w:p w14:paraId="1DD88AA5">
      <w:pPr>
        <w:pStyle w:val="18"/>
        <w:tabs>
          <w:tab w:val="right" w:leader="dot" w:pos="8312"/>
        </w:tabs>
        <w:rPr>
          <w:rFonts w:ascii="Times New Roman"/>
          <w:b w:val="0"/>
          <w:bCs w:val="0"/>
        </w:rPr>
      </w:pPr>
      <w:r>
        <w:fldChar w:fldCharType="begin"/>
      </w:r>
      <w:r>
        <w:instrText xml:space="preserve"> HYPERLINK \l "_Toc30307" </w:instrText>
      </w:r>
      <w:r>
        <w:fldChar w:fldCharType="separate"/>
      </w:r>
      <w:r>
        <w:rPr>
          <w:rFonts w:ascii="Times New Roman"/>
          <w:b w:val="0"/>
          <w:bCs w:val="0"/>
        </w:rPr>
        <w:t>附录H</w:t>
      </w:r>
      <w:r>
        <w:rPr>
          <w:rFonts w:ascii="Times New Roman"/>
          <w:b w:val="0"/>
          <w:bCs w:val="0"/>
        </w:rPr>
        <w:fldChar w:fldCharType="end"/>
      </w:r>
      <w:r>
        <w:fldChar w:fldCharType="begin"/>
      </w:r>
      <w:r>
        <w:instrText xml:space="preserve"> HYPERLINK \l "_Toc712" </w:instrText>
      </w:r>
      <w:r>
        <w:fldChar w:fldCharType="separate"/>
      </w:r>
      <w:r>
        <w:rPr>
          <w:rFonts w:ascii="Times New Roman"/>
          <w:b w:val="0"/>
          <w:bCs w:val="0"/>
        </w:rPr>
        <w:t>（</w:t>
      </w:r>
      <w:r>
        <w:rPr>
          <w:rFonts w:hint="eastAsia" w:ascii="Times New Roman"/>
          <w:b w:val="0"/>
          <w:bCs w:val="0"/>
        </w:rPr>
        <w:t>资料性</w:t>
      </w:r>
      <w:r>
        <w:rPr>
          <w:rFonts w:ascii="Times New Roman"/>
          <w:b w:val="0"/>
          <w:bCs w:val="0"/>
        </w:rPr>
        <w:t>）</w:t>
      </w:r>
      <w:r>
        <w:rPr>
          <w:rFonts w:ascii="Times New Roman"/>
          <w:b w:val="0"/>
          <w:bCs w:val="0"/>
        </w:rPr>
        <w:fldChar w:fldCharType="end"/>
      </w:r>
      <w:r>
        <w:fldChar w:fldCharType="begin"/>
      </w:r>
      <w:r>
        <w:instrText xml:space="preserve"> HYPERLINK \l "_Toc24091" </w:instrText>
      </w:r>
      <w:r>
        <w:fldChar w:fldCharType="separate"/>
      </w:r>
      <w:r>
        <w:rPr>
          <w:rFonts w:ascii="Times New Roman"/>
          <w:b w:val="0"/>
          <w:bCs w:val="0"/>
        </w:rPr>
        <w:t>冠心病患者药物治疗管理随访记录单</w:t>
      </w:r>
      <w:r>
        <w:rPr>
          <w:rFonts w:ascii="Times New Roman"/>
          <w:b w:val="0"/>
          <w:bCs w:val="0"/>
        </w:rPr>
        <w:tab/>
      </w:r>
      <w:r>
        <w:rPr>
          <w:rFonts w:ascii="Times New Roman"/>
          <w:b w:val="0"/>
          <w:bCs w:val="0"/>
        </w:rPr>
        <w:fldChar w:fldCharType="begin"/>
      </w:r>
      <w:r>
        <w:rPr>
          <w:rFonts w:ascii="Times New Roman"/>
          <w:b w:val="0"/>
          <w:bCs w:val="0"/>
        </w:rPr>
        <w:instrText xml:space="preserve"> PAGEREF _Toc24091 \h </w:instrText>
      </w:r>
      <w:r>
        <w:rPr>
          <w:rFonts w:ascii="Times New Roman"/>
          <w:b w:val="0"/>
          <w:bCs w:val="0"/>
        </w:rPr>
        <w:fldChar w:fldCharType="separate"/>
      </w:r>
      <w:r>
        <w:rPr>
          <w:rFonts w:ascii="Times New Roman"/>
          <w:b w:val="0"/>
          <w:bCs w:val="0"/>
        </w:rPr>
        <w:t>43</w:t>
      </w:r>
      <w:r>
        <w:rPr>
          <w:rFonts w:ascii="Times New Roman"/>
          <w:b w:val="0"/>
          <w:bCs w:val="0"/>
        </w:rPr>
        <w:fldChar w:fldCharType="end"/>
      </w:r>
      <w:r>
        <w:rPr>
          <w:rFonts w:ascii="Times New Roman"/>
          <w:b w:val="0"/>
          <w:bCs w:val="0"/>
        </w:rPr>
        <w:fldChar w:fldCharType="end"/>
      </w:r>
    </w:p>
    <w:p w14:paraId="174B9869">
      <w:pPr>
        <w:pStyle w:val="18"/>
        <w:tabs>
          <w:tab w:val="right" w:leader="dot" w:pos="8312"/>
        </w:tabs>
        <w:rPr>
          <w:rFonts w:ascii="Times New Roman"/>
        </w:rPr>
      </w:pPr>
      <w:r>
        <w:fldChar w:fldCharType="begin"/>
      </w:r>
      <w:r>
        <w:instrText xml:space="preserve"> HYPERLINK \l "_Toc20435" </w:instrText>
      </w:r>
      <w:r>
        <w:fldChar w:fldCharType="separate"/>
      </w:r>
      <w:r>
        <w:rPr>
          <w:rFonts w:hint="eastAsia" w:ascii="宋体" w:hAnsi="宋体" w:cs="宋体"/>
          <w:b w:val="0"/>
          <w:bCs w:val="0"/>
          <w:szCs w:val="28"/>
        </w:rPr>
        <w:t>参考文献</w:t>
      </w:r>
      <w:r>
        <w:rPr>
          <w:rFonts w:ascii="Times New Roman"/>
          <w:b w:val="0"/>
          <w:bCs w:val="0"/>
        </w:rPr>
        <w:tab/>
      </w:r>
      <w:r>
        <w:rPr>
          <w:rFonts w:ascii="Times New Roman"/>
          <w:b w:val="0"/>
          <w:bCs w:val="0"/>
        </w:rPr>
        <w:fldChar w:fldCharType="begin"/>
      </w:r>
      <w:r>
        <w:rPr>
          <w:rFonts w:ascii="Times New Roman"/>
          <w:b w:val="0"/>
          <w:bCs w:val="0"/>
        </w:rPr>
        <w:instrText xml:space="preserve"> PAGEREF _Toc20435 \h </w:instrText>
      </w:r>
      <w:r>
        <w:rPr>
          <w:rFonts w:ascii="Times New Roman"/>
          <w:b w:val="0"/>
          <w:bCs w:val="0"/>
        </w:rPr>
        <w:fldChar w:fldCharType="separate"/>
      </w:r>
      <w:r>
        <w:rPr>
          <w:rFonts w:ascii="Times New Roman"/>
          <w:b w:val="0"/>
          <w:bCs w:val="0"/>
        </w:rPr>
        <w:t>44</w:t>
      </w:r>
      <w:r>
        <w:rPr>
          <w:rFonts w:ascii="Times New Roman"/>
          <w:b w:val="0"/>
          <w:bCs w:val="0"/>
        </w:rPr>
        <w:fldChar w:fldCharType="end"/>
      </w:r>
      <w:r>
        <w:rPr>
          <w:rFonts w:ascii="Times New Roman"/>
          <w:b w:val="0"/>
          <w:bCs w:val="0"/>
        </w:rPr>
        <w:fldChar w:fldCharType="end"/>
      </w:r>
    </w:p>
    <w:p w14:paraId="4A22BE06">
      <w:pPr>
        <w:pStyle w:val="18"/>
        <w:tabs>
          <w:tab w:val="right" w:leader="dot" w:pos="8302"/>
        </w:tabs>
        <w:jc w:val="center"/>
        <w:rPr>
          <w:rFonts w:ascii="Times New Roman"/>
          <w:bCs w:val="0"/>
          <w:color w:val="000000" w:themeColor="text1"/>
          <w14:textFill>
            <w14:solidFill>
              <w14:schemeClr w14:val="tx1"/>
            </w14:solidFill>
          </w14:textFill>
        </w:rPr>
        <w:sectPr>
          <w:footerReference r:id="rId12" w:type="first"/>
          <w:footerReference r:id="rId11" w:type="default"/>
          <w:endnotePr>
            <w:numFmt w:val="decimal"/>
          </w:endnotePr>
          <w:pgSz w:w="11906" w:h="16838"/>
          <w:pgMar w:top="1440" w:right="1797" w:bottom="1440" w:left="1797" w:header="1418" w:footer="1134" w:gutter="0"/>
          <w:pgNumType w:fmt="upperRoman" w:start="1"/>
          <w:cols w:space="720" w:num="1"/>
          <w:formProt w:val="0"/>
          <w:titlePg/>
          <w:docGrid w:linePitch="312" w:charSpace="0"/>
        </w:sectPr>
      </w:pPr>
      <w:r>
        <w:rPr>
          <w:rFonts w:ascii="Times New Roman" w:eastAsiaTheme="minorEastAsia"/>
          <w:color w:val="000000" w:themeColor="text1"/>
          <w14:textFill>
            <w14:solidFill>
              <w14:schemeClr w14:val="tx1"/>
            </w14:solidFill>
          </w14:textFill>
        </w:rPr>
        <w:fldChar w:fldCharType="end"/>
      </w:r>
    </w:p>
    <w:p w14:paraId="31E0C9C4">
      <w:pPr>
        <w:pStyle w:val="42"/>
        <w:rPr>
          <w:color w:val="000000" w:themeColor="text1"/>
          <w14:textFill>
            <w14:solidFill>
              <w14:schemeClr w14:val="tx1"/>
            </w14:solidFill>
          </w14:textFill>
        </w:rPr>
      </w:pPr>
      <w:bookmarkStart w:id="9" w:name="_Toc18461"/>
      <w:bookmarkStart w:id="10" w:name="_Toc195469929"/>
      <w:bookmarkStart w:id="11" w:name="_Toc20794"/>
      <w:bookmarkStart w:id="12" w:name="_Toc17718"/>
      <w:r>
        <w:rPr>
          <w:color w:val="000000" w:themeColor="text1"/>
          <w14:textFill>
            <w14:solidFill>
              <w14:schemeClr w14:val="tx1"/>
            </w14:solidFill>
          </w14:textFill>
        </w:rPr>
        <w:t>前  言</w:t>
      </w:r>
      <w:bookmarkEnd w:id="9"/>
      <w:bookmarkEnd w:id="10"/>
      <w:bookmarkEnd w:id="11"/>
      <w:bookmarkEnd w:id="12"/>
    </w:p>
    <w:p w14:paraId="17A93906">
      <w:pPr>
        <w:ind w:firstLine="42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本标准按照GB/T1.1-2020《标准化工作导则第1部分：标准化文件的结构和起草规则》给出的规则体例格式起草。</w:t>
      </w:r>
    </w:p>
    <w:p w14:paraId="51FD6655">
      <w:pPr>
        <w:ind w:firstLine="42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本标准由河南省药学会、郑州市第九人民医院提出。</w:t>
      </w:r>
    </w:p>
    <w:p w14:paraId="014BABD7">
      <w:pPr>
        <w:ind w:firstLine="42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本标准由河南省药学会归口。</w:t>
      </w:r>
    </w:p>
    <w:p w14:paraId="4F0C0C3B">
      <w:pPr>
        <w:ind w:firstLine="42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本标准起草单位：郑州市第九人民医院、</w:t>
      </w:r>
      <w:bookmarkStart w:id="282" w:name="_GoBack"/>
      <w:bookmarkEnd w:id="282"/>
      <w:r>
        <w:rPr>
          <w:rFonts w:hint="eastAsia" w:ascii="Times New Roman"/>
          <w:color w:val="000000" w:themeColor="text1"/>
          <w:szCs w:val="21"/>
          <w14:textFill>
            <w14:solidFill>
              <w14:schemeClr w14:val="tx1"/>
            </w14:solidFill>
          </w14:textFill>
        </w:rPr>
        <w:t>河南省药学会、郑州大学第五附属医院、郑州大学药学院、郑州大学第二附属医院、河南省人民医院、郑州大学第一附属医院、河南省职工医院、郑州人民医院、郑州市中心医院、</w:t>
      </w:r>
      <w:bookmarkStart w:id="13" w:name="OLE_LINK5"/>
      <w:r>
        <w:rPr>
          <w:rFonts w:hint="eastAsia" w:ascii="Times New Roman"/>
          <w:color w:val="000000" w:themeColor="text1"/>
          <w:szCs w:val="21"/>
          <w14:textFill>
            <w14:solidFill>
              <w14:schemeClr w14:val="tx1"/>
            </w14:solidFill>
          </w14:textFill>
        </w:rPr>
        <w:t>郑州市第三人民医院、</w:t>
      </w:r>
      <w:bookmarkEnd w:id="13"/>
      <w:r>
        <w:rPr>
          <w:rFonts w:hint="eastAsia" w:ascii="Times New Roman"/>
          <w:color w:val="000000" w:themeColor="text1"/>
          <w:szCs w:val="21"/>
          <w14:textFill>
            <w14:solidFill>
              <w14:schemeClr w14:val="tx1"/>
            </w14:solidFill>
          </w14:textFill>
        </w:rPr>
        <w:t>郑州市第七人民医院、周口市中心医院、新安县人民医院、濮阳油田总医院。</w:t>
      </w:r>
    </w:p>
    <w:p w14:paraId="1C3E04F6">
      <w:pPr>
        <w:ind w:firstLine="420"/>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本标准牵头起草人：李敏。</w:t>
      </w:r>
    </w:p>
    <w:p w14:paraId="125101ED">
      <w:pPr>
        <w:ind w:firstLine="420"/>
        <w:rPr>
          <w:color w:val="000000" w:themeColor="text1"/>
          <w14:textFill>
            <w14:solidFill>
              <w14:schemeClr w14:val="tx1"/>
            </w14:solidFill>
          </w14:textFill>
        </w:rPr>
      </w:pPr>
      <w:r>
        <w:rPr>
          <w:rFonts w:hint="eastAsia" w:ascii="Times New Roman"/>
          <w:color w:val="000000" w:themeColor="text1"/>
          <w:szCs w:val="21"/>
          <w14:textFill>
            <w14:solidFill>
              <w14:schemeClr w14:val="tx1"/>
            </w14:solidFill>
          </w14:textFill>
        </w:rPr>
        <w:t>本标准主要起草人：李敏、李方、</w:t>
      </w:r>
      <w:r>
        <w:rPr>
          <w:rFonts w:hint="eastAsia"/>
          <w:color w:val="000000" w:themeColor="text1"/>
          <w14:textFill>
            <w14:solidFill>
              <w14:schemeClr w14:val="tx1"/>
            </w14:solidFill>
          </w14:textFill>
        </w:rPr>
        <w:t>赵杨、</w:t>
      </w:r>
      <w:r>
        <w:rPr>
          <w:rFonts w:hint="eastAsia" w:ascii="Times New Roman"/>
          <w:color w:val="000000" w:themeColor="text1"/>
          <w:szCs w:val="21"/>
          <w14:textFill>
            <w14:solidFill>
              <w14:schemeClr w14:val="tx1"/>
            </w14:solidFill>
          </w14:textFill>
        </w:rPr>
        <w:t>刘伟</w:t>
      </w:r>
      <w:r>
        <w:rPr>
          <w:rFonts w:hint="eastAsia"/>
          <w:color w:val="000000" w:themeColor="text1"/>
          <w14:textFill>
            <w14:solidFill>
              <w14:schemeClr w14:val="tx1"/>
            </w14:solidFill>
          </w14:textFill>
        </w:rPr>
        <w:t>、何勐。</w:t>
      </w:r>
    </w:p>
    <w:p w14:paraId="48C3892F">
      <w:pPr>
        <w:ind w:firstLine="420"/>
        <w:rPr>
          <w:rFonts w:ascii="Times New Roman" w:eastAsiaTheme="minorEastAsia"/>
          <w:color w:val="000000" w:themeColor="text1"/>
          <w14:textFill>
            <w14:solidFill>
              <w14:schemeClr w14:val="tx1"/>
            </w14:solidFill>
          </w14:textFill>
        </w:rPr>
      </w:pPr>
      <w:r>
        <w:rPr>
          <w:rFonts w:hint="eastAsia" w:ascii="Times New Roman"/>
          <w:color w:val="000000" w:themeColor="text1"/>
          <w:szCs w:val="21"/>
          <w14:textFill>
            <w14:solidFill>
              <w14:schemeClr w14:val="tx1"/>
            </w14:solidFill>
          </w14:textFill>
        </w:rPr>
        <w:t>本标准其他起草人：</w:t>
      </w:r>
      <w:r>
        <w:rPr>
          <w:rFonts w:hint="eastAsia"/>
          <w:color w:val="000000" w:themeColor="text1"/>
          <w14:textFill>
            <w14:solidFill>
              <w14:schemeClr w14:val="tx1"/>
            </w14:solidFill>
          </w14:textFill>
        </w:rPr>
        <w:t>焦红军、</w:t>
      </w:r>
      <w:r>
        <w:rPr>
          <w:rFonts w:hint="eastAsia" w:ascii="Times New Roman"/>
          <w:color w:val="000000" w:themeColor="text1"/>
          <w:szCs w:val="21"/>
          <w14:textFill>
            <w14:solidFill>
              <w14:schemeClr w14:val="tx1"/>
            </w14:solidFill>
          </w14:textFill>
        </w:rPr>
        <w:t>王雷、</w:t>
      </w:r>
      <w:r>
        <w:rPr>
          <w:rFonts w:hint="eastAsia"/>
          <w:color w:val="000000" w:themeColor="text1"/>
          <w14:textFill>
            <w14:solidFill>
              <w14:schemeClr w14:val="tx1"/>
            </w14:solidFill>
          </w14:textFill>
        </w:rPr>
        <w:t>吕锡亮、陈楠、</w:t>
      </w:r>
      <w:r>
        <w:rPr>
          <w:rFonts w:hint="eastAsia" w:hAnsi="宋体"/>
          <w:color w:val="000000" w:themeColor="text1"/>
          <w:szCs w:val="21"/>
          <w14:textFill>
            <w14:solidFill>
              <w14:schemeClr w14:val="tx1"/>
            </w14:solidFill>
          </w14:textFill>
        </w:rPr>
        <w:t>梁淑红、薛文华、</w:t>
      </w:r>
      <w:r>
        <w:rPr>
          <w:rFonts w:hint="eastAsia"/>
          <w:color w:val="000000" w:themeColor="text1"/>
          <w14:textFill>
            <w14:solidFill>
              <w14:schemeClr w14:val="tx1"/>
            </w14:solidFill>
          </w14:textFill>
        </w:rPr>
        <w:t>王会品、杨玉玲、查岭、张骞、李小燕、陈媛媛、杨莹、徐寅鹏、张飒飒、王亚玲、牛玉珍、王静、张奇、贾雪冬、席晨。</w:t>
      </w:r>
      <w:r>
        <w:rPr>
          <w:rFonts w:ascii="Times New Roman" w:eastAsiaTheme="minorEastAsia"/>
          <w:color w:val="000000" w:themeColor="text1"/>
          <w14:textFill>
            <w14:solidFill>
              <w14:schemeClr w14:val="tx1"/>
            </w14:solidFill>
          </w14:textFill>
        </w:rPr>
        <w:br w:type="page"/>
      </w:r>
    </w:p>
    <w:p w14:paraId="1072B0BC">
      <w:pPr>
        <w:pStyle w:val="42"/>
        <w:rPr>
          <w:color w:val="000000" w:themeColor="text1"/>
          <w14:textFill>
            <w14:solidFill>
              <w14:schemeClr w14:val="tx1"/>
            </w14:solidFill>
          </w14:textFill>
        </w:rPr>
      </w:pPr>
      <w:bookmarkStart w:id="14" w:name="_Toc10128"/>
      <w:bookmarkStart w:id="15" w:name="_Toc509933847"/>
      <w:bookmarkStart w:id="16" w:name="_Toc195469930"/>
      <w:bookmarkStart w:id="17" w:name="_Toc30097"/>
      <w:bookmarkStart w:id="18" w:name="_Toc436205034"/>
      <w:bookmarkStart w:id="19" w:name="_Toc13557"/>
      <w:bookmarkStart w:id="20" w:name="_Toc510534526"/>
      <w:r>
        <w:rPr>
          <w:color w:val="000000" w:themeColor="text1"/>
          <w14:textFill>
            <w14:solidFill>
              <w14:schemeClr w14:val="tx1"/>
            </w14:solidFill>
          </w14:textFill>
        </w:rPr>
        <w:t>引</w:t>
      </w:r>
      <w:bookmarkStart w:id="21" w:name="BKYY"/>
      <w:r>
        <w:rPr>
          <w:color w:val="000000" w:themeColor="text1"/>
          <w14:textFill>
            <w14:solidFill>
              <w14:schemeClr w14:val="tx1"/>
            </w14:solidFill>
          </w14:textFill>
        </w:rPr>
        <w:t xml:space="preserve">  言</w:t>
      </w:r>
      <w:bookmarkEnd w:id="14"/>
      <w:bookmarkEnd w:id="15"/>
      <w:bookmarkEnd w:id="16"/>
      <w:bookmarkEnd w:id="17"/>
      <w:bookmarkEnd w:id="18"/>
      <w:bookmarkEnd w:id="19"/>
      <w:bookmarkEnd w:id="20"/>
      <w:bookmarkEnd w:id="21"/>
    </w:p>
    <w:p w14:paraId="1AF2DBEA">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心血管疾病是我国一项重大公共卫生问题，国家心血管病中心发布的《中国心血管健康与疾病报告2024》中指出，我国心血管病发病率和死亡率持续提高，严重影响患者的日常生活质量以及健康状态。在这些心血管疾病当中，冠心病是最常见的疾病之一。因患者个体差异大，可能存在多病共存现象，有时需服用多种药物，造成潜在不适当用药或药物相互作用风险增加，对患者及社会造成严重负担。因此，加强冠心病患者用药管理，促进其合理用药至关重要。</w:t>
      </w:r>
    </w:p>
    <w:p w14:paraId="71EB5BA6">
      <w:pPr>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在新医改背景下，药学监护被视为促进合理用药的重要环节，其实施有助于提高患者的用药依从性，对于提高冠心病患者生活质量、减轻患者家庭及社会经济负担至关重要。近年来，在政府</w:t>
      </w:r>
      <w:r>
        <w:rPr>
          <w:rFonts w:hint="eastAsia" w:ascii="Times New Roman" w:hAnsi="Times New Roman" w:cs="Times New Roman"/>
          <w:color w:val="000000" w:themeColor="text1"/>
          <w14:textFill>
            <w14:solidFill>
              <w14:schemeClr w14:val="tx1"/>
            </w14:solidFill>
          </w14:textFill>
        </w:rPr>
        <w:t>主管部门领导</w:t>
      </w:r>
      <w:r>
        <w:rPr>
          <w:rFonts w:ascii="Times New Roman" w:hAnsi="Times New Roman" w:cs="Times New Roman"/>
          <w:color w:val="000000" w:themeColor="text1"/>
          <w14:textFill>
            <w14:solidFill>
              <w14:schemeClr w14:val="tx1"/>
            </w14:solidFill>
          </w14:textFill>
        </w:rPr>
        <w:t>及行业学会的支持下，我国药学监护逐渐规范。2021年，为进一步规范发展药学监护服务，提升药学服务水平，国家卫生健康委发布了《医疗机构药学监护服务规范》。冠心病住院患者病情较重，用药情况极其复杂，且实践中存在监护主观性强、方法不明、要点不统一、记录形式各异、内容与侧重点缺乏规范等问题，现阶段国内暂无针对冠心病患者的药学监护服务规范供临床药师参考。因此，制定一套适合医疗机构冠心病住院患者的药学监护服务规范势在必行，以进一步指导临床药师更好地参与临床药物治疗，保障冠心病患者的合理用药。</w:t>
      </w:r>
    </w:p>
    <w:p w14:paraId="6D27DF9F">
      <w:pPr>
        <w:ind w:firstLine="420"/>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该标准的发布与推广，将促使冠心病住院患者药学监护服务流程标准化，提高冠心病患者对疾病和用药的认识及用药依从性，加强患者的自我管理，对冠心病患者的合理用药具有实际意义。</w:t>
      </w:r>
    </w:p>
    <w:p w14:paraId="2DBABB64">
      <w:pPr>
        <w:pStyle w:val="21"/>
        <w:ind w:firstLine="420"/>
        <w:rPr>
          <w:rFonts w:ascii="Times New Roman" w:eastAsiaTheme="minorEastAsia"/>
          <w:color w:val="000000" w:themeColor="text1"/>
          <w14:textFill>
            <w14:solidFill>
              <w14:schemeClr w14:val="tx1"/>
            </w14:solidFill>
          </w14:textFill>
        </w:rPr>
      </w:pPr>
    </w:p>
    <w:p w14:paraId="6FB3C311">
      <w:pPr>
        <w:pStyle w:val="21"/>
        <w:ind w:firstLine="199" w:firstLineChars="95"/>
        <w:rPr>
          <w:rFonts w:ascii="Times New Roman" w:eastAsiaTheme="minorEastAsia"/>
          <w:color w:val="000000" w:themeColor="text1"/>
          <w14:textFill>
            <w14:solidFill>
              <w14:schemeClr w14:val="tx1"/>
            </w14:solidFill>
          </w14:textFill>
        </w:rPr>
        <w:sectPr>
          <w:endnotePr>
            <w:numFmt w:val="decimal"/>
          </w:endnotePr>
          <w:pgSz w:w="11906" w:h="16838"/>
          <w:pgMar w:top="1440" w:right="1797" w:bottom="1440" w:left="1797" w:header="1418" w:footer="1134" w:gutter="0"/>
          <w:pgNumType w:fmt="upperRoman"/>
          <w:cols w:space="720" w:num="1"/>
          <w:formProt w:val="0"/>
          <w:titlePg/>
          <w:docGrid w:linePitch="312" w:charSpace="0"/>
        </w:sectPr>
      </w:pPr>
    </w:p>
    <w:p w14:paraId="5E4F57EA">
      <w:pPr>
        <w:pStyle w:val="39"/>
        <w:ind w:firstLine="643"/>
        <w:rPr>
          <w:color w:val="000000" w:themeColor="text1"/>
          <w14:textFill>
            <w14:solidFill>
              <w14:schemeClr w14:val="tx1"/>
            </w14:solidFill>
          </w14:textFill>
        </w:rPr>
      </w:pPr>
      <w:bookmarkStart w:id="22" w:name="_Toc23360"/>
      <w:bookmarkStart w:id="23" w:name="_Toc10378"/>
      <w:bookmarkStart w:id="24" w:name="_Toc8960"/>
      <w:bookmarkStart w:id="25" w:name="_Toc195469931"/>
      <w:bookmarkStart w:id="26" w:name="_Toc510534528"/>
      <w:bookmarkStart w:id="27" w:name="_Toc459724774"/>
      <w:bookmarkStart w:id="28" w:name="_Toc509933849"/>
      <w:bookmarkStart w:id="29" w:name="_Toc459704603"/>
      <w:bookmarkStart w:id="30" w:name="_Toc459720143"/>
      <w:r>
        <w:rPr>
          <w:rFonts w:hint="eastAsia"/>
          <w:color w:val="000000" w:themeColor="text1"/>
          <w14:textFill>
            <w14:solidFill>
              <w14:schemeClr w14:val="tx1"/>
            </w14:solidFill>
          </w14:textFill>
        </w:rPr>
        <w:t>冠心病住院患者药学监护服务规范</w:t>
      </w:r>
      <w:bookmarkEnd w:id="22"/>
      <w:bookmarkEnd w:id="23"/>
      <w:bookmarkEnd w:id="24"/>
      <w:bookmarkEnd w:id="25"/>
    </w:p>
    <w:p w14:paraId="24EC85D9">
      <w:pPr>
        <w:pStyle w:val="20"/>
      </w:pPr>
      <w:bookmarkStart w:id="31" w:name="_Toc195469932"/>
      <w:bookmarkStart w:id="32" w:name="_Toc18620"/>
      <w:bookmarkStart w:id="33" w:name="_Toc14356"/>
      <w:bookmarkStart w:id="34" w:name="_Toc29640"/>
      <w:r>
        <w:t>1. 范围</w:t>
      </w:r>
      <w:bookmarkEnd w:id="26"/>
      <w:bookmarkEnd w:id="27"/>
      <w:bookmarkEnd w:id="28"/>
      <w:bookmarkEnd w:id="29"/>
      <w:bookmarkEnd w:id="30"/>
      <w:bookmarkEnd w:id="31"/>
      <w:bookmarkEnd w:id="32"/>
      <w:bookmarkEnd w:id="33"/>
      <w:bookmarkEnd w:id="34"/>
    </w:p>
    <w:p w14:paraId="20D7A782">
      <w:pPr>
        <w:ind w:firstLine="420"/>
        <w:rPr>
          <w:rFonts w:ascii="Times New Roman" w:hAnsi="Times New Roman" w:cs="Times New Roman"/>
          <w:color w:val="000000" w:themeColor="text1"/>
          <w:szCs w:val="21"/>
          <w14:textFill>
            <w14:solidFill>
              <w14:schemeClr w14:val="tx1"/>
            </w14:solidFill>
          </w14:textFill>
        </w:rPr>
      </w:pPr>
      <w:bookmarkStart w:id="35" w:name="_Toc459724775"/>
      <w:bookmarkStart w:id="36" w:name="_Toc459720144"/>
      <w:bookmarkStart w:id="37" w:name="_Toc459704604"/>
      <w:r>
        <w:rPr>
          <w:rFonts w:ascii="Times New Roman" w:hAnsi="Times New Roman" w:cs="Times New Roman"/>
          <w:color w:val="000000" w:themeColor="text1"/>
          <w:szCs w:val="21"/>
          <w14:textFill>
            <w14:solidFill>
              <w14:schemeClr w14:val="tx1"/>
            </w14:solidFill>
          </w14:textFill>
        </w:rPr>
        <w:t>本文件</w:t>
      </w:r>
      <w:r>
        <w:rPr>
          <w:rFonts w:hint="eastAsia" w:ascii="Times New Roman" w:hAnsi="Times New Roman" w:cs="Times New Roman"/>
          <w:color w:val="000000" w:themeColor="text1"/>
          <w:szCs w:val="21"/>
          <w14:textFill>
            <w14:solidFill>
              <w14:schemeClr w14:val="tx1"/>
            </w14:solidFill>
          </w14:textFill>
        </w:rPr>
        <w:t>规范</w:t>
      </w:r>
      <w:r>
        <w:rPr>
          <w:rFonts w:ascii="Times New Roman" w:hAnsi="Times New Roman" w:cs="Times New Roman"/>
          <w:color w:val="000000" w:themeColor="text1"/>
          <w:szCs w:val="21"/>
          <w14:textFill>
            <w14:solidFill>
              <w14:schemeClr w14:val="tx1"/>
            </w14:solidFill>
          </w14:textFill>
        </w:rPr>
        <w:t>了冠心病</w:t>
      </w:r>
      <w:r>
        <w:rPr>
          <w:rFonts w:hint="eastAsia" w:ascii="Times New Roman" w:hAnsi="Times New Roman" w:cs="Times New Roman"/>
          <w:color w:val="000000" w:themeColor="text1"/>
          <w:szCs w:val="21"/>
          <w14:textFill>
            <w14:solidFill>
              <w14:schemeClr w14:val="tx1"/>
            </w14:solidFill>
          </w14:textFill>
        </w:rPr>
        <w:t>住院</w:t>
      </w:r>
      <w:r>
        <w:rPr>
          <w:rFonts w:ascii="Times New Roman" w:hAnsi="Times New Roman" w:cs="Times New Roman"/>
          <w:color w:val="000000" w:themeColor="text1"/>
          <w:szCs w:val="21"/>
          <w14:textFill>
            <w14:solidFill>
              <w14:schemeClr w14:val="tx1"/>
            </w14:solidFill>
          </w14:textFill>
        </w:rPr>
        <w:t>患者</w:t>
      </w:r>
      <w:r>
        <w:rPr>
          <w:rFonts w:hint="eastAsia" w:ascii="Times New Roman" w:hAnsi="Times New Roman" w:cs="Times New Roman"/>
          <w:color w:val="000000" w:themeColor="text1"/>
          <w:szCs w:val="21"/>
          <w14:textFill>
            <w14:solidFill>
              <w14:schemeClr w14:val="tx1"/>
            </w14:solidFill>
          </w14:textFill>
        </w:rPr>
        <w:t>药学监护服务相关工作，明确了具体的服务流程及内容。</w:t>
      </w:r>
    </w:p>
    <w:p w14:paraId="0C41D942">
      <w:pPr>
        <w:pStyle w:val="21"/>
        <w:spacing w:line="360" w:lineRule="auto"/>
        <w:ind w:firstLine="420"/>
        <w:rPr>
          <w:rFonts w:ascii="Times New Roman" w:eastAsiaTheme="minorEastAsia"/>
          <w:color w:val="000000" w:themeColor="text1"/>
          <w14:textFill>
            <w14:solidFill>
              <w14:schemeClr w14:val="tx1"/>
            </w14:solidFill>
          </w14:textFill>
        </w:rPr>
      </w:pPr>
      <w:r>
        <w:rPr>
          <w:rFonts w:ascii="Times New Roman"/>
          <w:color w:val="000000" w:themeColor="text1"/>
          <w:szCs w:val="21"/>
          <w14:textFill>
            <w14:solidFill>
              <w14:schemeClr w14:val="tx1"/>
            </w14:solidFill>
          </w14:textFill>
        </w:rPr>
        <w:t>本文件适用于国内所有提供冠心病</w:t>
      </w:r>
      <w:r>
        <w:rPr>
          <w:rFonts w:hint="eastAsia" w:ascii="Times New Roman"/>
          <w:color w:val="000000" w:themeColor="text1"/>
          <w:szCs w:val="21"/>
          <w14:textFill>
            <w14:solidFill>
              <w14:schemeClr w14:val="tx1"/>
            </w14:solidFill>
          </w14:textFill>
        </w:rPr>
        <w:t>住院</w:t>
      </w:r>
      <w:r>
        <w:rPr>
          <w:rFonts w:ascii="Times New Roman"/>
          <w:color w:val="000000" w:themeColor="text1"/>
          <w:szCs w:val="21"/>
          <w14:textFill>
            <w14:solidFill>
              <w14:schemeClr w14:val="tx1"/>
            </w14:solidFill>
          </w14:textFill>
        </w:rPr>
        <w:t>患者治疗服务的各级医疗机构</w:t>
      </w:r>
      <w:r>
        <w:rPr>
          <w:rFonts w:hint="eastAsia" w:ascii="Times New Roman"/>
          <w:color w:val="000000" w:themeColor="text1"/>
          <w:szCs w:val="21"/>
          <w14:textFill>
            <w14:solidFill>
              <w14:schemeClr w14:val="tx1"/>
            </w14:solidFill>
          </w14:textFill>
        </w:rPr>
        <w:t>，</w:t>
      </w:r>
      <w:r>
        <w:rPr>
          <w:rFonts w:ascii="Times New Roman"/>
          <w:color w:val="000000" w:themeColor="text1"/>
          <w:szCs w:val="21"/>
          <w14:textFill>
            <w14:solidFill>
              <w14:schemeClr w14:val="tx1"/>
            </w14:solidFill>
          </w14:textFill>
        </w:rPr>
        <w:t>指导临床药师规范开展</w:t>
      </w:r>
      <w:r>
        <w:rPr>
          <w:rFonts w:hint="eastAsia" w:ascii="Times New Roman"/>
          <w:color w:val="000000" w:themeColor="text1"/>
          <w:szCs w:val="21"/>
          <w14:textFill>
            <w14:solidFill>
              <w14:schemeClr w14:val="tx1"/>
            </w14:solidFill>
          </w14:textFill>
        </w:rPr>
        <w:t>冠心病住院</w:t>
      </w:r>
      <w:r>
        <w:rPr>
          <w:rFonts w:ascii="Times New Roman"/>
          <w:color w:val="000000" w:themeColor="text1"/>
          <w:szCs w:val="21"/>
          <w14:textFill>
            <w14:solidFill>
              <w14:schemeClr w14:val="tx1"/>
            </w14:solidFill>
          </w14:textFill>
        </w:rPr>
        <w:t>患者药学</w:t>
      </w:r>
      <w:r>
        <w:rPr>
          <w:rFonts w:hint="eastAsia" w:ascii="Times New Roman"/>
          <w:color w:val="000000" w:themeColor="text1"/>
          <w:szCs w:val="21"/>
          <w14:textFill>
            <w14:solidFill>
              <w14:schemeClr w14:val="tx1"/>
            </w14:solidFill>
          </w14:textFill>
        </w:rPr>
        <w:t>监护服务</w:t>
      </w:r>
      <w:r>
        <w:rPr>
          <w:rFonts w:ascii="Times New Roman" w:eastAsiaTheme="minorEastAsia"/>
          <w:color w:val="000000" w:themeColor="text1"/>
          <w14:textFill>
            <w14:solidFill>
              <w14:schemeClr w14:val="tx1"/>
            </w14:solidFill>
          </w14:textFill>
        </w:rPr>
        <w:t>。</w:t>
      </w:r>
      <w:bookmarkEnd w:id="35"/>
      <w:bookmarkEnd w:id="36"/>
      <w:bookmarkEnd w:id="37"/>
      <w:bookmarkStart w:id="38" w:name="_Toc459704605"/>
      <w:bookmarkEnd w:id="38"/>
    </w:p>
    <w:p w14:paraId="553860D6">
      <w:pPr>
        <w:pStyle w:val="20"/>
      </w:pPr>
      <w:bookmarkStart w:id="39" w:name="_Toc16585"/>
      <w:bookmarkStart w:id="40" w:name="_Toc20702"/>
      <w:bookmarkStart w:id="41" w:name="_Toc195469933"/>
      <w:bookmarkStart w:id="42" w:name="_Toc18518"/>
      <w:r>
        <w:t>2. 规范性引用文件</w:t>
      </w:r>
      <w:bookmarkEnd w:id="39"/>
      <w:bookmarkEnd w:id="40"/>
      <w:bookmarkEnd w:id="41"/>
      <w:bookmarkEnd w:id="42"/>
    </w:p>
    <w:p w14:paraId="6EE7E3DB">
      <w:pPr>
        <w:ind w:firstLine="420"/>
        <w:rPr>
          <w:color w:val="000000" w:themeColor="text1"/>
          <w14:textFill>
            <w14:solidFill>
              <w14:schemeClr w14:val="tx1"/>
            </w14:solidFill>
          </w14:textFill>
        </w:rPr>
      </w:pPr>
      <w:bookmarkStart w:id="43" w:name="_Toc509933851"/>
      <w:bookmarkStart w:id="44" w:name="_Toc510534530"/>
      <w:bookmarkStart w:id="45" w:name="_Toc436205037"/>
      <w:r>
        <w:rPr>
          <w:color w:val="000000" w:themeColor="text1"/>
          <w14:textFill>
            <w14:solidFill>
              <w14:schemeClr w14:val="tx1"/>
            </w14:solidFill>
          </w14:textFill>
        </w:rPr>
        <w:t>下列文件对于本标准的应用是必不可少的。凡是注日期的引用文件，仅注日期的版本适用于本标准。凡是不注日期的引用文件，其最新版本（包括所有的修改单）适用于本文件。</w:t>
      </w:r>
    </w:p>
    <w:p w14:paraId="511D3AE6">
      <w:pPr>
        <w:ind w:firstLine="420"/>
        <w:rPr>
          <w:color w:val="000000" w:themeColor="text1"/>
          <w14:textFill>
            <w14:solidFill>
              <w14:schemeClr w14:val="tx1"/>
            </w14:solidFill>
          </w14:textFill>
        </w:rPr>
      </w:pPr>
      <w:r>
        <w:rPr>
          <w:color w:val="000000" w:themeColor="text1"/>
          <w14:textFill>
            <w14:solidFill>
              <w14:schemeClr w14:val="tx1"/>
            </w14:solidFill>
          </w14:textFill>
        </w:rPr>
        <w:t>《中华人民共和国药典》</w:t>
      </w:r>
      <w:r>
        <w:rPr>
          <w:rFonts w:hint="eastAsia" w:ascii="Times New Roman" w:hAnsi="Times New Roman" w:cs="Times New Roman"/>
          <w:color w:val="000000" w:themeColor="text1"/>
          <w14:textFill>
            <w14:solidFill>
              <w14:schemeClr w14:val="tx1"/>
            </w14:solidFill>
          </w14:textFill>
        </w:rPr>
        <w:t>（国家药监局 国家卫生健康委2025年第29号）</w:t>
      </w:r>
    </w:p>
    <w:p w14:paraId="69696A96">
      <w:pPr>
        <w:ind w:firstLine="420"/>
        <w:rPr>
          <w:color w:val="000000" w:themeColor="text1"/>
          <w14:textFill>
            <w14:solidFill>
              <w14:schemeClr w14:val="tx1"/>
            </w14:solidFill>
          </w14:textFill>
        </w:rPr>
      </w:pPr>
      <w:r>
        <w:rPr>
          <w:color w:val="000000" w:themeColor="text1"/>
          <w14:textFill>
            <w14:solidFill>
              <w14:schemeClr w14:val="tx1"/>
            </w14:solidFill>
          </w14:textFill>
        </w:rPr>
        <w:t>《中华人民共和国药品管理法》</w:t>
      </w:r>
      <w:r>
        <w:rPr>
          <w:rFonts w:hint="eastAsia" w:ascii="Times New Roman" w:hAnsi="Times New Roman" w:cs="Times New Roman"/>
          <w:color w:val="000000" w:themeColor="text1"/>
          <w14:textFill>
            <w14:solidFill>
              <w14:schemeClr w14:val="tx1"/>
            </w14:solidFill>
          </w14:textFill>
        </w:rPr>
        <w:t>（主席令第31号）</w:t>
      </w:r>
    </w:p>
    <w:p w14:paraId="0C2ADEF4">
      <w:pPr>
        <w:ind w:firstLine="420"/>
        <w:rPr>
          <w:color w:val="000000" w:themeColor="text1"/>
          <w14:textFill>
            <w14:solidFill>
              <w14:schemeClr w14:val="tx1"/>
            </w14:solidFill>
          </w14:textFill>
        </w:rPr>
      </w:pPr>
      <w:r>
        <w:rPr>
          <w:color w:val="000000" w:themeColor="text1"/>
          <w14:textFill>
            <w14:solidFill>
              <w14:schemeClr w14:val="tx1"/>
            </w14:solidFill>
          </w14:textFill>
        </w:rPr>
        <w:t>《医疗机构药事管理规定》</w:t>
      </w:r>
      <w:r>
        <w:rPr>
          <w:rFonts w:hint="eastAsia" w:ascii="Times New Roman" w:hAnsi="Times New Roman" w:cs="Times New Roman"/>
          <w:color w:val="000000" w:themeColor="text1"/>
          <w14:textFill>
            <w14:solidFill>
              <w14:schemeClr w14:val="tx1"/>
            </w14:solidFill>
          </w14:textFill>
        </w:rPr>
        <w:t>（卫医政发〔2011〕11号）</w:t>
      </w:r>
    </w:p>
    <w:p w14:paraId="63B7DDAD">
      <w:pPr>
        <w:ind w:firstLine="420"/>
        <w:rPr>
          <w:color w:val="000000" w:themeColor="text1"/>
          <w14:textFill>
            <w14:solidFill>
              <w14:schemeClr w14:val="tx1"/>
            </w14:solidFill>
          </w14:textFill>
        </w:rPr>
      </w:pPr>
      <w:r>
        <w:rPr>
          <w:color w:val="000000" w:themeColor="text1"/>
          <w14:textFill>
            <w14:solidFill>
              <w14:schemeClr w14:val="tx1"/>
            </w14:solidFill>
          </w14:textFill>
        </w:rPr>
        <w:t>《处方管理办法》</w:t>
      </w:r>
      <w:r>
        <w:rPr>
          <w:rFonts w:hint="eastAsia" w:ascii="Times New Roman" w:hAnsi="Times New Roman" w:cs="Times New Roman"/>
          <w:color w:val="000000" w:themeColor="text1"/>
          <w14:textFill>
            <w14:solidFill>
              <w14:schemeClr w14:val="tx1"/>
            </w14:solidFill>
          </w14:textFill>
        </w:rPr>
        <w:t>（卫生部令第53号）</w:t>
      </w:r>
    </w:p>
    <w:p w14:paraId="1FC0280A">
      <w:pPr>
        <w:ind w:firstLine="420"/>
        <w:rPr>
          <w:color w:val="000000" w:themeColor="text1"/>
          <w14:textFill>
            <w14:solidFill>
              <w14:schemeClr w14:val="tx1"/>
            </w14:solidFill>
          </w14:textFill>
        </w:rPr>
      </w:pPr>
      <w:r>
        <w:rPr>
          <w:color w:val="000000" w:themeColor="text1"/>
          <w14:textFill>
            <w14:solidFill>
              <w14:schemeClr w14:val="tx1"/>
            </w14:solidFill>
          </w14:textFill>
        </w:rPr>
        <w:t>《药品不良反应报告和监测管理办法》</w:t>
      </w:r>
      <w:r>
        <w:rPr>
          <w:rFonts w:hint="eastAsia" w:ascii="Times New Roman" w:hAnsi="Times New Roman" w:cs="Times New Roman"/>
          <w:color w:val="000000" w:themeColor="text1"/>
          <w14:textFill>
            <w14:solidFill>
              <w14:schemeClr w14:val="tx1"/>
            </w14:solidFill>
          </w14:textFill>
        </w:rPr>
        <w:t>（卫生部令第81号）</w:t>
      </w:r>
    </w:p>
    <w:p w14:paraId="29CCDA95">
      <w:pPr>
        <w:ind w:firstLine="420"/>
        <w:rPr>
          <w:color w:val="000000" w:themeColor="text1"/>
          <w14:textFill>
            <w14:solidFill>
              <w14:schemeClr w14:val="tx1"/>
            </w14:solidFill>
          </w14:textFill>
        </w:rPr>
      </w:pPr>
      <w:r>
        <w:rPr>
          <w:color w:val="000000" w:themeColor="text1"/>
          <w14:textFill>
            <w14:solidFill>
              <w14:schemeClr w14:val="tx1"/>
            </w14:solidFill>
          </w14:textFill>
        </w:rPr>
        <w:t>《医院处方点评管理规范（试行）》</w:t>
      </w:r>
      <w:r>
        <w:rPr>
          <w:rFonts w:hint="eastAsia" w:ascii="Times New Roman" w:hAnsi="Times New Roman" w:cs="Times New Roman"/>
          <w:color w:val="000000" w:themeColor="text1"/>
          <w14:textFill>
            <w14:solidFill>
              <w14:schemeClr w14:val="tx1"/>
            </w14:solidFill>
          </w14:textFill>
        </w:rPr>
        <w:t>（卫医管发〔2010〕28号）</w:t>
      </w:r>
    </w:p>
    <w:p w14:paraId="32EA3C87">
      <w:pPr>
        <w:ind w:firstLine="420"/>
        <w:rPr>
          <w:color w:val="000000" w:themeColor="text1"/>
          <w14:textFill>
            <w14:solidFill>
              <w14:schemeClr w14:val="tx1"/>
            </w14:solidFill>
          </w14:textFill>
        </w:rPr>
      </w:pPr>
      <w:r>
        <w:rPr>
          <w:color w:val="000000" w:themeColor="text1"/>
          <w14:textFill>
            <w14:solidFill>
              <w14:schemeClr w14:val="tx1"/>
            </w14:solidFill>
          </w14:textFill>
        </w:rPr>
        <w:t>《医疗机构处方审核规范》</w:t>
      </w:r>
      <w:r>
        <w:rPr>
          <w:rFonts w:hint="eastAsia" w:ascii="Times New Roman" w:hAnsi="Times New Roman" w:cs="Times New Roman"/>
          <w:color w:val="000000" w:themeColor="text1"/>
          <w14:textFill>
            <w14:solidFill>
              <w14:schemeClr w14:val="tx1"/>
            </w14:solidFill>
          </w14:textFill>
        </w:rPr>
        <w:t>（国卫办医发〔2018〕14号）</w:t>
      </w:r>
    </w:p>
    <w:p w14:paraId="5F20DBEF">
      <w:pPr>
        <w:ind w:firstLine="420"/>
        <w:rPr>
          <w:color w:val="000000" w:themeColor="text1"/>
          <w14:textFill>
            <w14:solidFill>
              <w14:schemeClr w14:val="tx1"/>
            </w14:solidFill>
          </w14:textFill>
        </w:rPr>
      </w:pPr>
      <w:r>
        <w:rPr>
          <w:color w:val="000000" w:themeColor="text1"/>
          <w14:textFill>
            <w14:solidFill>
              <w14:schemeClr w14:val="tx1"/>
            </w14:solidFill>
          </w14:textFill>
        </w:rPr>
        <w:t>《医疗质量安全核心制度要点》</w:t>
      </w:r>
      <w:r>
        <w:rPr>
          <w:rFonts w:hint="eastAsia" w:ascii="Times New Roman" w:hAnsi="Times New Roman" w:cs="Times New Roman"/>
          <w:color w:val="000000" w:themeColor="text1"/>
          <w14:textFill>
            <w14:solidFill>
              <w14:schemeClr w14:val="tx1"/>
            </w14:solidFill>
          </w14:textFill>
        </w:rPr>
        <w:t>（国卫医发〔2018〕8号）</w:t>
      </w:r>
    </w:p>
    <w:p w14:paraId="0AA25850">
      <w:pPr>
        <w:ind w:firstLine="420"/>
        <w:rPr>
          <w:color w:val="000000" w:themeColor="text1"/>
          <w14:textFill>
            <w14:solidFill>
              <w14:schemeClr w14:val="tx1"/>
            </w14:solidFill>
          </w14:textFill>
        </w:rPr>
      </w:pPr>
      <w:r>
        <w:rPr>
          <w:color w:val="000000" w:themeColor="text1"/>
          <w14:textFill>
            <w14:solidFill>
              <w14:schemeClr w14:val="tx1"/>
            </w14:solidFill>
          </w14:textFill>
        </w:rPr>
        <w:t>《医疗机构药学监护服务规范》</w:t>
      </w:r>
      <w:r>
        <w:rPr>
          <w:rFonts w:hint="eastAsia"/>
          <w:color w:val="000000" w:themeColor="text1"/>
          <w14:textFill>
            <w14:solidFill>
              <w14:schemeClr w14:val="tx1"/>
            </w14:solidFill>
          </w14:textFill>
        </w:rPr>
        <w:t>（国卫办医函〔2021〕520号）</w:t>
      </w:r>
    </w:p>
    <w:p w14:paraId="1122AB8A">
      <w:pPr>
        <w:ind w:firstLine="420"/>
        <w:rPr>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《国家三级公立医院绩效监测操作手册（2025版）》（国卫办医政函〔2025〕268号）</w:t>
      </w:r>
    </w:p>
    <w:p w14:paraId="7A1B82A1">
      <w:pPr>
        <w:ind w:firstLine="420"/>
        <w:rPr>
          <w:color w:val="000000" w:themeColor="text1"/>
          <w14:textFill>
            <w14:solidFill>
              <w14:schemeClr w14:val="tx1"/>
            </w14:solidFill>
          </w14:textFill>
        </w:rPr>
      </w:pPr>
      <w:r>
        <w:rPr>
          <w:color w:val="000000" w:themeColor="text1"/>
          <w14:textFill>
            <w14:solidFill>
              <w14:schemeClr w14:val="tx1"/>
            </w14:solidFill>
          </w14:textFill>
        </w:rPr>
        <w:t>T/CHAS 20-2-3—2021《医疗机构药事管理与药学服务 第2-3部分：临床药学服务 药物重整》</w:t>
      </w:r>
    </w:p>
    <w:p w14:paraId="0C6F4EDB">
      <w:pPr>
        <w:ind w:firstLine="420"/>
        <w:rPr>
          <w:color w:val="000000" w:themeColor="text1"/>
          <w14:textFill>
            <w14:solidFill>
              <w14:schemeClr w14:val="tx1"/>
            </w14:solidFill>
          </w14:textFill>
        </w:rPr>
      </w:pPr>
      <w:r>
        <w:rPr>
          <w:color w:val="000000" w:themeColor="text1"/>
          <w14:textFill>
            <w14:solidFill>
              <w14:schemeClr w14:val="tx1"/>
            </w14:solidFill>
          </w14:textFill>
        </w:rPr>
        <w:t>T/CHAS 20-2-5—2021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医疗机构药事管理与药学服务 第2-5部分：临床药学服务 用药教育</w:t>
      </w:r>
      <w:r>
        <w:rPr>
          <w:rFonts w:hint="eastAsia"/>
          <w:color w:val="000000" w:themeColor="text1"/>
          <w14:textFill>
            <w14:solidFill>
              <w14:schemeClr w14:val="tx1"/>
            </w14:solidFill>
          </w14:textFill>
        </w:rPr>
        <w:t>》</w:t>
      </w:r>
    </w:p>
    <w:p w14:paraId="2530DE7C">
      <w:pPr>
        <w:ind w:firstLine="420"/>
        <w:rPr>
          <w:color w:val="000000" w:themeColor="text1"/>
          <w14:textFill>
            <w14:solidFill>
              <w14:schemeClr w14:val="tx1"/>
            </w14:solidFill>
          </w14:textFill>
        </w:rPr>
      </w:pPr>
      <w:bookmarkStart w:id="46" w:name="OLE_LINK3"/>
      <w:bookmarkStart w:id="47" w:name="OLE_LINK2"/>
      <w:r>
        <w:rPr>
          <w:rFonts w:hint="eastAsia"/>
          <w:color w:val="000000" w:themeColor="text1"/>
          <w14:textFill>
            <w14:solidFill>
              <w14:schemeClr w14:val="tx1"/>
            </w14:solidFill>
          </w14:textFill>
        </w:rPr>
        <w:t>T/CHAS 20-2-7—2021</w:t>
      </w:r>
      <w:bookmarkEnd w:id="46"/>
      <w:bookmarkEnd w:id="47"/>
      <w:r>
        <w:rPr>
          <w:rFonts w:hint="eastAsia"/>
          <w:color w:val="000000" w:themeColor="text1"/>
          <w14:textFill>
            <w14:solidFill>
              <w14:schemeClr w14:val="tx1"/>
            </w14:solidFill>
          </w14:textFill>
        </w:rPr>
        <w:t>《医疗机构药学监护服务规范 第2-7部分：临床药学服务 药学监护》</w:t>
      </w:r>
    </w:p>
    <w:p w14:paraId="5ED3F3FE">
      <w:pPr>
        <w:ind w:firstLine="420"/>
        <w:rPr>
          <w:color w:val="000000" w:themeColor="text1"/>
          <w14:textFill>
            <w14:solidFill>
              <w14:schemeClr w14:val="tx1"/>
            </w14:solidFill>
          </w14:textFill>
        </w:rPr>
      </w:pPr>
      <w:r>
        <w:rPr>
          <w:color w:val="000000" w:themeColor="text1"/>
          <w14:textFill>
            <w14:solidFill>
              <w14:schemeClr w14:val="tx1"/>
            </w14:solidFill>
          </w14:textFill>
        </w:rPr>
        <w:t>T/CHAS 20-2-9—2022</w:t>
      </w:r>
      <w:r>
        <w:rPr>
          <w:rFonts w:hint="eastAsia"/>
          <w:color w:val="000000" w:themeColor="text1"/>
          <w14:textFill>
            <w14:solidFill>
              <w14:schemeClr w14:val="tx1"/>
            </w14:solidFill>
          </w14:textFill>
        </w:rPr>
        <w:t>《医疗机构药事管理与药学服务 第 2-9 部分：临床药学服务 药学会诊》</w:t>
      </w:r>
    </w:p>
    <w:p w14:paraId="044432EA">
      <w:pPr>
        <w:ind w:firstLine="420"/>
        <w:rPr>
          <w:color w:val="000000" w:themeColor="text1"/>
          <w:highlight w:val="yellow"/>
          <w14:textFill>
            <w14:solidFill>
              <w14:schemeClr w14:val="tx1"/>
            </w14:solidFill>
          </w14:textFill>
        </w:rPr>
      </w:pPr>
      <w:r>
        <w:rPr>
          <w:color w:val="000000" w:themeColor="text1"/>
          <w14:textFill>
            <w14:solidFill>
              <w14:schemeClr w14:val="tx1"/>
            </w14:solidFill>
          </w14:textFill>
        </w:rPr>
        <w:t>T/CHAS 20-2-10-2022</w:t>
      </w:r>
      <w:r>
        <w:rPr>
          <w:rFonts w:hint="eastAsia"/>
          <w:color w:val="000000" w:themeColor="text1"/>
          <w14:textFill>
            <w14:solidFill>
              <w14:schemeClr w14:val="tx1"/>
            </w14:solidFill>
          </w14:textFill>
        </w:rPr>
        <w:t>《医疗机构药事管理与药学服务第 2-10 部分:临床药学服务药学病例讨论》</w:t>
      </w:r>
    </w:p>
    <w:p w14:paraId="4761F41A">
      <w:pPr>
        <w:ind w:firstLine="420"/>
        <w:rPr>
          <w:color w:val="000000" w:themeColor="text1"/>
          <w14:textFill>
            <w14:solidFill>
              <w14:schemeClr w14:val="tx1"/>
            </w14:solidFill>
          </w14:textFill>
        </w:rPr>
      </w:pPr>
      <w:bookmarkStart w:id="48" w:name="OLE_LINK1"/>
      <w:r>
        <w:rPr>
          <w:color w:val="000000" w:themeColor="text1"/>
          <w14:textFill>
            <w14:solidFill>
              <w14:schemeClr w14:val="tx1"/>
            </w14:solidFill>
          </w14:textFill>
        </w:rPr>
        <w:t>T/CHAS 10-3-6-2023</w:t>
      </w:r>
      <w:r>
        <w:rPr>
          <w:rFonts w:hint="eastAsia"/>
          <w:color w:val="000000" w:themeColor="text1"/>
          <w14:textFill>
            <w14:solidFill>
              <w14:schemeClr w14:val="tx1"/>
            </w14:solidFill>
          </w14:textFill>
        </w:rPr>
        <w:t>《中国医院质量安全管理 第3-6部分：医疗保障多学科联合诊疗（MDT）》</w:t>
      </w:r>
    </w:p>
    <w:bookmarkEnd w:id="48"/>
    <w:p w14:paraId="13DE7306">
      <w:pPr>
        <w:ind w:firstLine="420"/>
        <w:rPr>
          <w:color w:val="000000" w:themeColor="text1"/>
          <w14:textFill>
            <w14:solidFill>
              <w14:schemeClr w14:val="tx1"/>
            </w14:solidFill>
          </w14:textFill>
        </w:rPr>
      </w:pPr>
      <w:r>
        <w:rPr>
          <w:color w:val="000000" w:themeColor="text1"/>
          <w14:textFill>
            <w14:solidFill>
              <w14:schemeClr w14:val="tx1"/>
            </w14:solidFill>
          </w14:textFill>
        </w:rPr>
        <w:t>T/HENANPA 001—2022</w:t>
      </w:r>
      <w:r>
        <w:rPr>
          <w:rFonts w:hint="eastAsia"/>
          <w:color w:val="000000" w:themeColor="text1"/>
          <w14:textFill>
            <w14:solidFill>
              <w14:schemeClr w14:val="tx1"/>
            </w14:solidFill>
          </w14:textFill>
        </w:rPr>
        <w:t>《住院患者药学监护技术规范》</w:t>
      </w:r>
    </w:p>
    <w:p w14:paraId="57EF5E08">
      <w:pPr>
        <w:ind w:firstLine="420"/>
        <w:rPr>
          <w:color w:val="000000" w:themeColor="text1"/>
          <w14:textFill>
            <w14:solidFill>
              <w14:schemeClr w14:val="tx1"/>
            </w14:solidFill>
          </w14:textFill>
        </w:rPr>
      </w:pPr>
      <w:r>
        <w:rPr>
          <w:color w:val="000000" w:themeColor="text1"/>
          <w14:textFill>
            <w14:solidFill>
              <w14:schemeClr w14:val="tx1"/>
            </w14:solidFill>
          </w14:textFill>
        </w:rPr>
        <w:t>T/HENANPA 002—2022</w:t>
      </w:r>
      <w:r>
        <w:rPr>
          <w:rFonts w:hint="eastAsia"/>
          <w:color w:val="000000" w:themeColor="text1"/>
          <w14:textFill>
            <w14:solidFill>
              <w14:schemeClr w14:val="tx1"/>
            </w14:solidFill>
          </w14:textFill>
        </w:rPr>
        <w:t>《住院患者药历书写基本规范》</w:t>
      </w:r>
    </w:p>
    <w:p w14:paraId="14F7433C">
      <w:pPr>
        <w:pStyle w:val="20"/>
        <w:rPr>
          <w:rFonts w:ascii="Times New Roman" w:hAnsi="Times New Roman" w:eastAsiaTheme="minorEastAsia"/>
        </w:rPr>
      </w:pPr>
      <w:bookmarkStart w:id="49" w:name="_Toc11937"/>
      <w:bookmarkStart w:id="50" w:name="_Toc1393"/>
      <w:bookmarkStart w:id="51" w:name="_Toc12705"/>
      <w:bookmarkStart w:id="52" w:name="_Toc195469934"/>
      <w:r>
        <w:rPr>
          <w:rFonts w:ascii="Times New Roman" w:hAnsi="Times New Roman" w:eastAsiaTheme="minorEastAsia"/>
        </w:rPr>
        <w:t>3.</w:t>
      </w:r>
      <w:r>
        <w:t xml:space="preserve"> 术语和定义</w:t>
      </w:r>
      <w:bookmarkEnd w:id="43"/>
      <w:bookmarkEnd w:id="44"/>
      <w:bookmarkEnd w:id="45"/>
      <w:bookmarkEnd w:id="49"/>
      <w:bookmarkEnd w:id="50"/>
      <w:bookmarkEnd w:id="51"/>
      <w:bookmarkEnd w:id="52"/>
    </w:p>
    <w:p w14:paraId="6CDAFE9B">
      <w:pPr>
        <w:ind w:firstLine="420"/>
        <w:rPr>
          <w:color w:val="000000" w:themeColor="text1"/>
          <w14:textFill>
            <w14:solidFill>
              <w14:schemeClr w14:val="tx1"/>
            </w14:solidFill>
          </w14:textFill>
        </w:rPr>
      </w:pPr>
      <w:r>
        <w:rPr>
          <w:color w:val="000000" w:themeColor="text1"/>
          <w14:textFill>
            <w14:solidFill>
              <w14:schemeClr w14:val="tx1"/>
            </w14:solidFill>
          </w14:textFill>
        </w:rPr>
        <w:t>下列术语和定义适用于本标准。</w:t>
      </w:r>
    </w:p>
    <w:p w14:paraId="286667C9">
      <w:pPr>
        <w:pStyle w:val="4"/>
        <w:spacing w:before="156" w:after="156"/>
      </w:pPr>
      <w:bookmarkStart w:id="53" w:name="_Toc7742"/>
      <w:bookmarkStart w:id="54" w:name="_Toc195469935"/>
      <w:r>
        <w:rPr>
          <w:rFonts w:hint="eastAsia"/>
        </w:rPr>
        <w:t xml:space="preserve">3.1 </w:t>
      </w:r>
      <w:bookmarkStart w:id="55" w:name="_Hlk204030926"/>
      <w:r>
        <w:rPr>
          <w:rFonts w:hint="eastAsia"/>
        </w:rPr>
        <w:t>多学科联合诊疗 Multi-disciplinary Team</w:t>
      </w:r>
      <w:bookmarkEnd w:id="53"/>
    </w:p>
    <w:p w14:paraId="7BA85E03">
      <w:pPr>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指以患者为中心，通过组织相关学科的专家针对患者病情进行讨论、分析，共同制定最适合患者的治疗方案，从而争取获得最佳预后的诊疗模式。</w:t>
      </w:r>
    </w:p>
    <w:bookmarkEnd w:id="55"/>
    <w:p w14:paraId="052B8AAF">
      <w:pPr>
        <w:pStyle w:val="4"/>
        <w:spacing w:before="156" w:after="156"/>
      </w:pPr>
      <w:bookmarkStart w:id="56" w:name="_Toc8745"/>
      <w:r>
        <w:rPr>
          <w:rFonts w:hint="eastAsia"/>
        </w:rPr>
        <w:t xml:space="preserve">3.2 </w:t>
      </w:r>
      <w:bookmarkStart w:id="57" w:name="_Hlk204030958"/>
      <w:r>
        <w:rPr>
          <w:rFonts w:hint="eastAsia"/>
        </w:rPr>
        <w:t>冠状动脉粥样硬化性心脏病 Coronary Atherosclerotic Heart Disease</w:t>
      </w:r>
      <w:bookmarkEnd w:id="56"/>
    </w:p>
    <w:p w14:paraId="72741D22">
      <w:pPr>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指由于冠状动脉粥样硬化使管腔狭窄或闭塞导致心肌缺血、缺氧或坏死而引发的心脏病，简称冠心病。</w:t>
      </w:r>
      <w:bookmarkEnd w:id="57"/>
    </w:p>
    <w:p w14:paraId="6B8E9F14">
      <w:pPr>
        <w:pStyle w:val="4"/>
        <w:spacing w:before="156" w:after="156"/>
      </w:pPr>
      <w:bookmarkStart w:id="58" w:name="_Toc12136"/>
      <w:r>
        <w:rPr>
          <w:rFonts w:hint="eastAsia"/>
        </w:rPr>
        <w:t>3.3 临床药师 Clinical Pharmacist</w:t>
      </w:r>
      <w:bookmarkEnd w:id="58"/>
    </w:p>
    <w:p w14:paraId="5979BAAD">
      <w:pPr>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指以系统药学专业知识为基础，并具有一定医学和相关专业基础知识与技能，直接参与临床用药促进药物合理应用和保护患者用药安全的药学专业技术人员。</w:t>
      </w:r>
    </w:p>
    <w:p w14:paraId="2DFB54CB">
      <w:pPr>
        <w:pStyle w:val="4"/>
        <w:spacing w:before="156" w:after="156"/>
      </w:pPr>
      <w:bookmarkStart w:id="59" w:name="_Toc5207"/>
      <w:r>
        <w:rPr>
          <w:rFonts w:hint="eastAsia"/>
        </w:rPr>
        <w:t>3.4 药历 Pharmaceutical Record</w:t>
      </w:r>
      <w:bookmarkEnd w:id="59"/>
    </w:p>
    <w:p w14:paraId="1DF0B056">
      <w:pPr>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指</w:t>
      </w:r>
      <w:r>
        <w:rPr>
          <w:rFonts w:hint="eastAsia" w:ascii="Times New Roman" w:hAnsi="Times New Roman" w:cs="Times New Roman"/>
          <w:color w:val="000000" w:themeColor="text1"/>
          <w14:textFill>
            <w14:solidFill>
              <w14:schemeClr w14:val="tx1"/>
            </w14:solidFill>
          </w14:textFill>
        </w:rPr>
        <w:t>临床药师在药学监护过程中形成的文字、符号、图表等资料的总和，包括门（急）诊药历和住院药历。</w:t>
      </w:r>
    </w:p>
    <w:p w14:paraId="35A99CBF">
      <w:pPr>
        <w:pStyle w:val="4"/>
        <w:spacing w:before="156" w:after="156"/>
      </w:pPr>
      <w:bookmarkStart w:id="60" w:name="_Toc4473"/>
      <w:r>
        <w:rPr>
          <w:rFonts w:hint="eastAsia"/>
        </w:rPr>
        <w:t>3.5 药品不良反应 Adverse Drug Reaction</w:t>
      </w:r>
      <w:bookmarkEnd w:id="60"/>
    </w:p>
    <w:p w14:paraId="46EF2C7E">
      <w:pPr>
        <w:ind w:firstLine="420"/>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指合格药品在正常用法用量下出现的与用药目的无关的有害反应。</w:t>
      </w:r>
    </w:p>
    <w:p w14:paraId="608AC732">
      <w:pPr>
        <w:pStyle w:val="4"/>
        <w:spacing w:before="156" w:after="156"/>
      </w:pPr>
      <w:bookmarkStart w:id="61" w:name="_Toc2758"/>
      <w:r>
        <w:rPr>
          <w:rFonts w:hint="eastAsia"/>
        </w:rPr>
        <w:t>3.6 药物重整 Medication Reconciliation</w:t>
      </w:r>
      <w:bookmarkEnd w:id="61"/>
    </w:p>
    <w:p w14:paraId="4708B8CF">
      <w:pPr>
        <w:ind w:firstLine="42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指药师在住院患者入院、转科或出院等重要环节，通过与患者沟通、查看相关资料方式，了解患者用药情况，比较当时正在使用的所有药物与医嘱是否合理一致，给出用药方案调整建议，并与医疗团队共同对不适宜用药进行调整的过程</w:t>
      </w:r>
      <w:r>
        <w:rPr>
          <w:rFonts w:ascii="Times New Roman" w:hAnsi="Times New Roman" w:cs="Times New Roman"/>
          <w:bCs/>
          <w:color w:val="000000" w:themeColor="text1"/>
          <w14:textFill>
            <w14:solidFill>
              <w14:schemeClr w14:val="tx1"/>
            </w14:solidFill>
          </w14:textFill>
        </w:rPr>
        <w:t>。</w:t>
      </w:r>
    </w:p>
    <w:p w14:paraId="34A6A967">
      <w:pPr>
        <w:pStyle w:val="4"/>
        <w:spacing w:before="156" w:after="156"/>
      </w:pPr>
      <w:bookmarkStart w:id="62" w:name="_Toc21633"/>
      <w:r>
        <w:rPr>
          <w:rFonts w:hint="eastAsia"/>
        </w:rPr>
        <w:t>3.7 药物-药物相互作用 Drug-Drug Interaction</w:t>
      </w:r>
      <w:bookmarkEnd w:id="62"/>
    </w:p>
    <w:p w14:paraId="78BDA3D7">
      <w:pPr>
        <w:ind w:firstLine="420"/>
        <w:rPr>
          <w:rFonts w:ascii="Times New Roman" w:hAnsi="Times New Roman" w:cs="Times New Roman"/>
          <w:color w:val="000000" w:themeColor="text1"/>
          <w:highlight w:val="green"/>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指两种或多种药物同时应用时，有时可使药效加强，有时也可以使药效减弱或不良反应加重。</w:t>
      </w:r>
    </w:p>
    <w:p w14:paraId="1E435DA1">
      <w:pPr>
        <w:pStyle w:val="4"/>
        <w:spacing w:before="156" w:after="156"/>
      </w:pPr>
      <w:bookmarkStart w:id="63" w:name="_Toc29473"/>
      <w:r>
        <w:rPr>
          <w:rFonts w:hint="eastAsia"/>
        </w:rPr>
        <w:t>3.8 药学病例讨论 Pharacy Case Discussion</w:t>
      </w:r>
      <w:bookmarkEnd w:id="63"/>
    </w:p>
    <w:p w14:paraId="196B99F8">
      <w:pPr>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指</w:t>
      </w:r>
      <w:r>
        <w:rPr>
          <w:rFonts w:ascii="Times New Roman" w:hAnsi="Times New Roman" w:cs="Times New Roman"/>
          <w:color w:val="000000" w:themeColor="text1"/>
          <w14:textFill>
            <w14:solidFill>
              <w14:schemeClr w14:val="tx1"/>
            </w14:solidFill>
          </w14:textFill>
        </w:rPr>
        <w:t>是由临床药师发起的有关患者疾病药物治疗方案和相关问题的讨论</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以培养合理用药思维、提高药师药学服务能力和发现并解决临床药物治疗问题。</w:t>
      </w:r>
    </w:p>
    <w:p w14:paraId="4FFE8693">
      <w:pPr>
        <w:pStyle w:val="4"/>
        <w:spacing w:before="156" w:after="156"/>
        <w:rPr>
          <w:rFonts w:ascii="Times New Roman" w:hAnsi="Times New Roman" w:cs="Times New Roman"/>
          <w:color w:val="000000" w:themeColor="text1"/>
          <w:szCs w:val="21"/>
          <w14:textFill>
            <w14:solidFill>
              <w14:schemeClr w14:val="tx1"/>
            </w14:solidFill>
          </w14:textFill>
        </w:rPr>
      </w:pPr>
      <w:bookmarkStart w:id="64" w:name="_Toc3514"/>
      <w:r>
        <w:rPr>
          <w:rFonts w:hint="eastAsia" w:ascii="Times New Roman" w:hAnsi="Times New Roman" w:cs="Times New Roman"/>
          <w:color w:val="000000" w:themeColor="text1"/>
          <w:szCs w:val="21"/>
          <w14:textFill>
            <w14:solidFill>
              <w14:schemeClr w14:val="tx1"/>
            </w14:solidFill>
          </w14:textFill>
        </w:rPr>
        <w:t>3.9 药学</w:t>
      </w:r>
      <w:r>
        <w:rPr>
          <w:rFonts w:hint="eastAsia"/>
        </w:rPr>
        <w:t>查房</w:t>
      </w:r>
      <w:r>
        <w:rPr>
          <w:rFonts w:hint="eastAsia" w:ascii="Times New Roman" w:hAnsi="Times New Roman" w:cs="Times New Roman"/>
          <w:color w:val="000000" w:themeColor="text1"/>
          <w:szCs w:val="21"/>
          <w14:textFill>
            <w14:solidFill>
              <w14:schemeClr w14:val="tx1"/>
            </w14:solidFill>
          </w14:textFill>
        </w:rPr>
        <w:t xml:space="preserve"> Pharmaceutical Ward Round</w:t>
      </w:r>
      <w:bookmarkEnd w:id="64"/>
    </w:p>
    <w:p w14:paraId="727D9A2E">
      <w:pPr>
        <w:ind w:firstLine="420"/>
        <w:rPr>
          <w:rFonts w:ascii="Times New Roman" w:hAnsi="Times New Roman" w:cs="Times New Roman"/>
          <w:color w:val="000000" w:themeColor="text1"/>
          <w:szCs w:val="21"/>
          <w:highlight w:val="yellow"/>
          <w:vertAlign w:val="superscript"/>
          <w14:textFill>
            <w14:solidFill>
              <w14:schemeClr w14:val="tx1"/>
            </w14:solidFill>
          </w14:textFill>
        </w:rPr>
      </w:pPr>
      <w:r>
        <w:rPr>
          <w:rFonts w:hint="eastAsia" w:ascii="Times New Roman" w:hAnsi="Times New Roman" w:cs="Times New Roman"/>
          <w:color w:val="000000" w:themeColor="text1"/>
          <w:lang w:bidi="ar"/>
          <w14:textFill>
            <w14:solidFill>
              <w14:schemeClr w14:val="tx1"/>
            </w14:solidFill>
          </w14:textFill>
        </w:rPr>
        <w:t>指临床药师在病区内对患者开展以合理用药为目的的查房过程。包括药师独立查房，药师与医师、护士等医疗团队的联合查房。</w:t>
      </w:r>
    </w:p>
    <w:p w14:paraId="5790BC50">
      <w:pPr>
        <w:pStyle w:val="4"/>
        <w:spacing w:before="156" w:after="156"/>
      </w:pPr>
      <w:bookmarkStart w:id="65" w:name="_Toc23729"/>
      <w:r>
        <w:rPr>
          <w:rFonts w:hint="eastAsia"/>
        </w:rPr>
        <w:t>3.10药学服务 Pharmaceutical Service</w:t>
      </w:r>
      <w:bookmarkEnd w:id="65"/>
    </w:p>
    <w:p w14:paraId="66952E97">
      <w:pPr>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指药师为保障患者用药安全、优化患者治疗效果和节约治疗费用而进行的相关服务，旨在发现和解决与患者用药相关问题。</w:t>
      </w:r>
    </w:p>
    <w:p w14:paraId="0429356B">
      <w:pPr>
        <w:pStyle w:val="4"/>
        <w:spacing w:before="156" w:after="156"/>
      </w:pPr>
      <w:bookmarkStart w:id="66" w:name="_Toc19708"/>
      <w:r>
        <w:rPr>
          <w:rFonts w:hint="eastAsia"/>
        </w:rPr>
        <w:t>3.11 药学会诊 Pharmaceutical Consults</w:t>
      </w:r>
      <w:bookmarkEnd w:id="66"/>
    </w:p>
    <w:p w14:paraId="3BF30630">
      <w:pPr>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指医疗机构药师应临床科室或医务部门的邀请，出于诊疗需要对患者的药物治疗方案进行优化和药学监护的药学服务。</w:t>
      </w:r>
    </w:p>
    <w:p w14:paraId="754141BE">
      <w:pPr>
        <w:pStyle w:val="4"/>
        <w:spacing w:before="156" w:after="156"/>
      </w:pPr>
      <w:bookmarkStart w:id="67" w:name="_Toc30775"/>
      <w:r>
        <w:rPr>
          <w:rFonts w:hint="eastAsia"/>
        </w:rPr>
        <w:t>3.12 药学监护 Pharmaceutical Care</w:t>
      </w:r>
      <w:bookmarkEnd w:id="67"/>
    </w:p>
    <w:p w14:paraId="6383FBD9">
      <w:pPr>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指</w:t>
      </w:r>
      <w:r>
        <w:rPr>
          <w:rFonts w:hint="eastAsia" w:ascii="Times New Roman" w:hAnsi="Times New Roman" w:cs="Times New Roman"/>
          <w:color w:val="000000" w:themeColor="text1"/>
          <w14:textFill>
            <w14:solidFill>
              <w14:schemeClr w14:val="tx1"/>
            </w14:solidFill>
          </w14:textFill>
        </w:rPr>
        <w:t>临床药师通过药学查房对患者进行药学评估，制定监护计划并根据监护结果与医师共同优化治疗方案的过程。</w:t>
      </w:r>
    </w:p>
    <w:p w14:paraId="5961AE57">
      <w:pPr>
        <w:pStyle w:val="4"/>
        <w:spacing w:before="156" w:after="156"/>
      </w:pPr>
      <w:bookmarkStart w:id="68" w:name="_Toc1824"/>
      <w:r>
        <w:rPr>
          <w:rFonts w:hint="eastAsia"/>
        </w:rPr>
        <w:t>3.13 药学监护分级 Pharmaceutical Care Classification</w:t>
      </w:r>
      <w:bookmarkEnd w:id="68"/>
    </w:p>
    <w:p w14:paraId="136A18C6">
      <w:pPr>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指</w:t>
      </w:r>
      <w:r>
        <w:rPr>
          <w:rFonts w:ascii="Times New Roman" w:hAnsi="Times New Roman" w:cs="Times New Roman"/>
          <w:color w:val="000000" w:themeColor="text1"/>
          <w14:textFill>
            <w14:solidFill>
              <w14:schemeClr w14:val="tx1"/>
            </w14:solidFill>
          </w14:textFill>
        </w:rPr>
        <w:t>根据患者的病理生理情况和治疗情况对患者进行全面评价分级，为个体化监护计划的制定做准备。</w:t>
      </w:r>
    </w:p>
    <w:p w14:paraId="68451D3F">
      <w:pPr>
        <w:pStyle w:val="4"/>
        <w:spacing w:before="156" w:after="156"/>
      </w:pPr>
      <w:bookmarkStart w:id="69" w:name="_Toc22983"/>
      <w:r>
        <w:rPr>
          <w:rFonts w:hint="eastAsia"/>
        </w:rPr>
        <w:t>3.14 药学监护计划 Pharmaceutical Care Plan</w:t>
      </w:r>
      <w:bookmarkEnd w:id="69"/>
    </w:p>
    <w:p w14:paraId="3E7FF85E">
      <w:pPr>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指</w:t>
      </w:r>
      <w:r>
        <w:rPr>
          <w:rFonts w:ascii="Times New Roman" w:hAnsi="Times New Roman" w:cs="Times New Roman"/>
          <w:color w:val="000000" w:themeColor="text1"/>
          <w14:textFill>
            <w14:solidFill>
              <w14:schemeClr w14:val="tx1"/>
            </w14:solidFill>
          </w14:textFill>
        </w:rPr>
        <w:t>临床药师在实施药学监护过程中，依据患者的症状、体征，辅助检查及治疗方案，从病情变化、合理用药情况、医保费用情况和其他药事管理指标变化情况等方面制定的个体化的药学监护重点，包括具体监护要点和监护频次。</w:t>
      </w:r>
    </w:p>
    <w:p w14:paraId="4E67F900">
      <w:pPr>
        <w:pStyle w:val="4"/>
        <w:spacing w:before="156" w:after="156"/>
      </w:pPr>
      <w:bookmarkStart w:id="70" w:name="_Toc4127"/>
      <w:r>
        <w:rPr>
          <w:rFonts w:hint="eastAsia"/>
        </w:rPr>
        <w:t>3.15 药学评估 Pharmaceutical Evaluation</w:t>
      </w:r>
      <w:bookmarkEnd w:id="70"/>
    </w:p>
    <w:p w14:paraId="05C86073">
      <w:pPr>
        <w:ind w:firstLine="42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指临床药师通过查看病历和药学查房，对患者入院时的一般状况、用药依从性、生活方式和一般医药知识掌握情况进行评估，评估结果为药学监护计划制定、患者用药效果评价和用药教育方案制定过程提供参考。</w:t>
      </w:r>
    </w:p>
    <w:p w14:paraId="7328E162">
      <w:pPr>
        <w:pStyle w:val="4"/>
        <w:spacing w:before="156" w:after="156"/>
      </w:pPr>
      <w:bookmarkStart w:id="71" w:name="_Toc7386"/>
      <w:r>
        <w:rPr>
          <w:rFonts w:hint="eastAsia"/>
        </w:rPr>
        <w:t>3.16 用药教育 Patient Education</w:t>
      </w:r>
      <w:bookmarkEnd w:id="71"/>
    </w:p>
    <w:p w14:paraId="025B62FE">
      <w:pPr>
        <w:ind w:firstLine="42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指药师对患者提供合理用药指导、普及合理用药知识等药学服务的过程，以提高患者用药知识水平，提高用药依从性，降低用药错误发生率，保障医疗质量和医疗安全</w:t>
      </w:r>
      <w:r>
        <w:rPr>
          <w:rFonts w:ascii="Times New Roman" w:hAnsi="Times New Roman" w:cs="Times New Roman"/>
          <w:bCs/>
          <w:color w:val="000000" w:themeColor="text1"/>
          <w14:textFill>
            <w14:solidFill>
              <w14:schemeClr w14:val="tx1"/>
            </w14:solidFill>
          </w14:textFill>
        </w:rPr>
        <w:t>。</w:t>
      </w:r>
    </w:p>
    <w:p w14:paraId="06F15D74">
      <w:pPr>
        <w:pStyle w:val="4"/>
        <w:spacing w:before="156" w:after="156"/>
      </w:pPr>
      <w:bookmarkStart w:id="72" w:name="_Toc30545"/>
      <w:r>
        <w:rPr>
          <w:rFonts w:hint="eastAsia"/>
        </w:rPr>
        <w:t>3.17 用药依从性 Medication Adherence</w:t>
      </w:r>
      <w:bookmarkEnd w:id="72"/>
    </w:p>
    <w:p w14:paraId="749AE0F0">
      <w:pPr>
        <w:ind w:firstLine="420"/>
        <w:rPr>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指患者在接受药物治疗时的行为与药物使用的要求（用药剂量和频率）是否保持一致，主要包括顺应性和持续性两个方面。顺应性指是否按照医生处方按时足量使用药物，通常采用规定的研究时间内患者用药占处方剂量的百分比（Medication Possession Ratio，MPR）来量化，MPR≥80%视为依从性良好。持续性指用药时间是否满足疗程，通常以从开始用药治疗到停止用药治疗的时间表示</w:t>
      </w:r>
      <w:r>
        <w:rPr>
          <w:rFonts w:ascii="Times New Roman" w:hAnsi="Times New Roman" w:cs="Times New Roman"/>
          <w:color w:val="000000" w:themeColor="text1"/>
          <w14:textFill>
            <w14:solidFill>
              <w14:schemeClr w14:val="tx1"/>
            </w14:solidFill>
          </w14:textFill>
        </w:rPr>
        <w:t>。</w:t>
      </w:r>
      <w:bookmarkEnd w:id="54"/>
      <w:bookmarkStart w:id="73" w:name="_Toc93480012"/>
    </w:p>
    <w:p w14:paraId="74B4580D">
      <w:pPr>
        <w:pStyle w:val="20"/>
      </w:pPr>
      <w:bookmarkStart w:id="74" w:name="_Toc30249"/>
      <w:bookmarkStart w:id="75" w:name="_Toc195469954"/>
      <w:bookmarkStart w:id="76" w:name="_Toc19488"/>
      <w:bookmarkStart w:id="77" w:name="_Toc18360"/>
      <w:r>
        <w:rPr>
          <w:rFonts w:hint="eastAsia"/>
        </w:rPr>
        <w:t>4.</w:t>
      </w:r>
      <w:bookmarkEnd w:id="73"/>
      <w:r>
        <w:rPr>
          <w:rFonts w:hint="eastAsia"/>
        </w:rPr>
        <w:t xml:space="preserve"> 冠心病住院患者药学监护服务流程图</w:t>
      </w:r>
      <w:bookmarkEnd w:id="74"/>
      <w:bookmarkEnd w:id="75"/>
      <w:bookmarkEnd w:id="76"/>
      <w:bookmarkEnd w:id="77"/>
    </w:p>
    <w:p w14:paraId="45A2EBF9">
      <w:pPr>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开展</w:t>
      </w:r>
      <w:r>
        <w:rPr>
          <w:rFonts w:hint="eastAsia"/>
          <w:color w:val="000000" w:themeColor="text1"/>
          <w14:textFill>
            <w14:solidFill>
              <w14:schemeClr w14:val="tx1"/>
            </w14:solidFill>
          </w14:textFill>
        </w:rPr>
        <w:t>冠心病住院患者药学监护</w:t>
      </w:r>
      <w:r>
        <w:rPr>
          <w:color w:val="000000" w:themeColor="text1"/>
          <w14:textFill>
            <w14:solidFill>
              <w14:schemeClr w14:val="tx1"/>
            </w14:solidFill>
          </w14:textFill>
        </w:rPr>
        <w:t>服务</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流程图，见图1。</w:t>
      </w:r>
    </w:p>
    <w:p w14:paraId="16439609">
      <w:pPr>
        <w:widowControl/>
        <w:spacing w:line="240" w:lineRule="auto"/>
        <w:ind w:firstLine="0" w:firstLineChars="0"/>
        <w:jc w:val="left"/>
        <w:rPr>
          <w:rFonts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br w:type="page"/>
      </w:r>
    </w:p>
    <w:p w14:paraId="39DFA44C">
      <w:pPr>
        <w:ind w:firstLine="420"/>
        <w:rPr>
          <w:rFonts w:eastAsiaTheme="minorEastAsia"/>
          <w:color w:val="000000" w:themeColor="text1"/>
          <w14:textFill>
            <w14:solidFill>
              <w14:schemeClr w14:val="tx1"/>
            </w14:solidFill>
          </w14:textFill>
        </w:rPr>
      </w:pPr>
      <w:r>
        <w:rPr>
          <w:rFonts w:ascii="Calibri" w:hAnsi="Calibri" w:cs="Times New Roman"/>
          <w:color w:val="000000" w:themeColor="text1"/>
          <w:szCs w:val="24"/>
          <w14:textFill>
            <w14:solidFill>
              <w14:schemeClr w14:val="tx1"/>
            </w14:solidFill>
          </w14:textFill>
        </w:rPr>
        <mc:AlternateContent>
          <mc:Choice Requires="wpc">
            <w:drawing>
              <wp:anchor distT="0" distB="0" distL="114300" distR="114300" simplePos="0" relativeHeight="251681792" behindDoc="0" locked="0" layoutInCell="1" allowOverlap="1">
                <wp:simplePos x="0" y="0"/>
                <wp:positionH relativeFrom="column">
                  <wp:posOffset>-391795</wp:posOffset>
                </wp:positionH>
                <wp:positionV relativeFrom="paragraph">
                  <wp:posOffset>0</wp:posOffset>
                </wp:positionV>
                <wp:extent cx="6146800" cy="8108950"/>
                <wp:effectExtent l="0" t="0" r="0" b="0"/>
                <wp:wrapTopAndBottom/>
                <wp:docPr id="2" name="画布 2"/>
                <wp:cNvGraphicFramePr/>
                <a:graphic xmlns:a="http://schemas.openxmlformats.org/drawingml/2006/main">
                  <a:graphicData uri="http://schemas.microsoft.com/office/word/2010/wordprocessingCanvas">
                    <wpc:wpc>
                      <wpc:bg/>
                      <wpc:whole/>
                      <wps:wsp>
                        <wps:cNvPr id="4" name="流程图: 过程 4"/>
                        <wps:cNvSpPr/>
                        <wps:spPr>
                          <a:xfrm>
                            <a:off x="1121229" y="77652"/>
                            <a:ext cx="1594800" cy="276860"/>
                          </a:xfrm>
                          <a:prstGeom prst="flowChartProcess">
                            <a:avLst/>
                          </a:prstGeom>
                          <a:noFill/>
                          <a:ln w="6350" cap="flat" cmpd="sng" algn="ctr">
                            <a:solidFill>
                              <a:sysClr val="windowText" lastClr="000000"/>
                            </a:solidFill>
                            <a:prstDash val="solid"/>
                            <a:miter lim="800000"/>
                          </a:ln>
                          <a:effectLst/>
                        </wps:spPr>
                        <wps:txbx>
                          <w:txbxContent>
                            <w:p w14:paraId="61D9CC71">
                              <w:pPr>
                                <w:spacing w:line="240" w:lineRule="auto"/>
                                <w:ind w:firstLine="0" w:firstLineChars="0"/>
                                <w:jc w:val="center"/>
                              </w:pPr>
                              <w:r>
                                <w:rPr>
                                  <w:rFonts w:hint="eastAsia"/>
                                </w:rPr>
                                <w:t>患者入院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流程图: 过程 6"/>
                        <wps:cNvSpPr/>
                        <wps:spPr>
                          <a:xfrm>
                            <a:off x="1117600" y="592455"/>
                            <a:ext cx="1594800" cy="276860"/>
                          </a:xfrm>
                          <a:prstGeom prst="flowChartProcess">
                            <a:avLst/>
                          </a:prstGeom>
                          <a:noFill/>
                          <a:ln w="6350" cap="flat" cmpd="sng" algn="ctr">
                            <a:solidFill>
                              <a:sysClr val="windowText" lastClr="000000"/>
                            </a:solidFill>
                            <a:prstDash val="solid"/>
                            <a:miter lim="800000"/>
                          </a:ln>
                          <a:effectLst/>
                        </wps:spPr>
                        <wps:txbx>
                          <w:txbxContent>
                            <w:p w14:paraId="34E069E8">
                              <w:pPr>
                                <w:spacing w:line="240" w:lineRule="auto"/>
                                <w:ind w:firstLine="0" w:firstLineChars="0"/>
                                <w:jc w:val="center"/>
                              </w:pPr>
                              <w:r>
                                <w:rPr>
                                  <w:rFonts w:hint="eastAsia"/>
                                </w:rPr>
                                <w:t>药学查房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流程图: 过程 8"/>
                        <wps:cNvSpPr/>
                        <wps:spPr>
                          <a:xfrm>
                            <a:off x="125095" y="1703509"/>
                            <a:ext cx="904240" cy="360000"/>
                          </a:xfrm>
                          <a:prstGeom prst="flowChartProcess">
                            <a:avLst/>
                          </a:prstGeom>
                          <a:noFill/>
                          <a:ln w="6350" cap="flat" cmpd="sng" algn="ctr">
                            <a:solidFill>
                              <a:sysClr val="windowText" lastClr="000000"/>
                            </a:solidFill>
                            <a:prstDash val="solid"/>
                            <a:miter lim="800000"/>
                          </a:ln>
                          <a:effectLst/>
                        </wps:spPr>
                        <wps:txbx>
                          <w:txbxContent>
                            <w:p w14:paraId="12BAAE45">
                              <w:pPr>
                                <w:spacing w:line="240" w:lineRule="auto"/>
                                <w:ind w:firstLine="0" w:firstLineChars="0"/>
                                <w:jc w:val="center"/>
                              </w:pPr>
                              <w:r>
                                <w:rPr>
                                  <w:rFonts w:hint="eastAsia"/>
                                </w:rPr>
                                <w:t>药学评估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流程图: 过程 9"/>
                        <wps:cNvSpPr/>
                        <wps:spPr>
                          <a:xfrm>
                            <a:off x="1424940" y="1712595"/>
                            <a:ext cx="981710" cy="360000"/>
                          </a:xfrm>
                          <a:prstGeom prst="flowChartProcess">
                            <a:avLst/>
                          </a:prstGeom>
                          <a:noFill/>
                          <a:ln w="6350" cap="flat" cmpd="sng" algn="ctr">
                            <a:solidFill>
                              <a:sysClr val="windowText" lastClr="000000"/>
                            </a:solidFill>
                            <a:prstDash val="solid"/>
                            <a:miter lim="800000"/>
                          </a:ln>
                          <a:effectLst/>
                        </wps:spPr>
                        <wps:txbx>
                          <w:txbxContent>
                            <w:p w14:paraId="361EF084">
                              <w:pPr>
                                <w:spacing w:line="240" w:lineRule="auto"/>
                                <w:ind w:firstLine="0" w:firstLineChars="0"/>
                                <w:jc w:val="center"/>
                              </w:pPr>
                              <w:r>
                                <w:rPr>
                                  <w:rFonts w:hint="eastAsia"/>
                                </w:rPr>
                                <w:t>临床沟通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流程图: 过程 10"/>
                        <wps:cNvSpPr/>
                        <wps:spPr>
                          <a:xfrm>
                            <a:off x="2835275" y="1712595"/>
                            <a:ext cx="981710" cy="360000"/>
                          </a:xfrm>
                          <a:prstGeom prst="flowChartProcess">
                            <a:avLst/>
                          </a:prstGeom>
                          <a:noFill/>
                          <a:ln w="6350" cap="flat" cmpd="sng" algn="ctr">
                            <a:solidFill>
                              <a:sysClr val="windowText" lastClr="000000"/>
                            </a:solidFill>
                            <a:prstDash val="solid"/>
                            <a:miter lim="800000"/>
                          </a:ln>
                          <a:effectLst/>
                        </wps:spPr>
                        <wps:txbx>
                          <w:txbxContent>
                            <w:p w14:paraId="30FF0618">
                              <w:pPr>
                                <w:spacing w:line="240" w:lineRule="auto"/>
                                <w:ind w:firstLine="0" w:firstLineChars="0"/>
                                <w:jc w:val="center"/>
                              </w:pPr>
                              <w:r>
                                <w:rPr>
                                  <w:rFonts w:hint="eastAsia"/>
                                </w:rPr>
                                <w:t>药物重整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流程图: 过程 12"/>
                        <wps:cNvSpPr/>
                        <wps:spPr>
                          <a:xfrm>
                            <a:off x="3054350" y="599440"/>
                            <a:ext cx="1449070" cy="276860"/>
                          </a:xfrm>
                          <a:prstGeom prst="flowChartProcess">
                            <a:avLst/>
                          </a:prstGeom>
                          <a:noFill/>
                          <a:ln w="6350" cap="flat" cmpd="sng" algn="ctr">
                            <a:solidFill>
                              <a:sysClr val="windowText" lastClr="000000"/>
                            </a:solidFill>
                            <a:prstDash val="dash"/>
                            <a:miter lim="800000"/>
                          </a:ln>
                          <a:effectLst/>
                        </wps:spPr>
                        <wps:txbx>
                          <w:txbxContent>
                            <w:p w14:paraId="1A8EE12D">
                              <w:pPr>
                                <w:spacing w:line="240" w:lineRule="auto"/>
                                <w:ind w:firstLine="0" w:firstLineChars="0"/>
                                <w:jc w:val="center"/>
                              </w:pPr>
                              <w:r>
                                <w:rPr>
                                  <w:rFonts w:hint="eastAsia"/>
                                </w:rPr>
                                <w:t>建立药历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流程图: 过程 13"/>
                        <wps:cNvSpPr/>
                        <wps:spPr>
                          <a:xfrm>
                            <a:off x="1163320" y="4369435"/>
                            <a:ext cx="1594485" cy="276860"/>
                          </a:xfrm>
                          <a:prstGeom prst="flowChartProcess">
                            <a:avLst/>
                          </a:prstGeom>
                          <a:noFill/>
                          <a:ln w="6350" cap="flat" cmpd="sng" algn="ctr">
                            <a:solidFill>
                              <a:sysClr val="windowText" lastClr="000000"/>
                            </a:solidFill>
                            <a:prstDash val="solid"/>
                            <a:miter lim="800000"/>
                          </a:ln>
                          <a:effectLst/>
                        </wps:spPr>
                        <wps:txbx>
                          <w:txbxContent>
                            <w:p w14:paraId="0AE653F7">
                              <w:pPr>
                                <w:spacing w:line="240" w:lineRule="auto"/>
                                <w:ind w:firstLine="0" w:firstLineChars="0"/>
                                <w:jc w:val="center"/>
                              </w:pPr>
                              <w:r>
                                <w:rPr>
                                  <w:rFonts w:hint="eastAsia"/>
                                </w:rPr>
                                <w:t>实施药学监护计划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流程图: 过程 14"/>
                        <wps:cNvSpPr/>
                        <wps:spPr>
                          <a:xfrm>
                            <a:off x="662305" y="5016500"/>
                            <a:ext cx="2484755" cy="348615"/>
                          </a:xfrm>
                          <a:prstGeom prst="flowChartProcess">
                            <a:avLst/>
                          </a:prstGeom>
                          <a:noFill/>
                          <a:ln w="6350" cap="flat" cmpd="sng" algn="ctr">
                            <a:solidFill>
                              <a:sysClr val="windowText" lastClr="000000"/>
                            </a:solidFill>
                            <a:prstDash val="solid"/>
                            <a:miter lim="800000"/>
                          </a:ln>
                          <a:effectLst/>
                        </wps:spPr>
                        <wps:txbx>
                          <w:txbxContent>
                            <w:p w14:paraId="62E57A83">
                              <w:pPr>
                                <w:ind w:firstLine="0" w:firstLineChars="0"/>
                              </w:pPr>
                              <w:r>
                                <w:rPr>
                                  <w:rFonts w:hint="eastAsia"/>
                                </w:rPr>
                                <w:t>协助临床进行药物治疗效果综合评估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流程图: 决策 15"/>
                        <wps:cNvSpPr/>
                        <wps:spPr>
                          <a:xfrm>
                            <a:off x="833120" y="5679440"/>
                            <a:ext cx="2110105" cy="946785"/>
                          </a:xfrm>
                          <a:prstGeom prst="flowChartDecision">
                            <a:avLst/>
                          </a:prstGeom>
                          <a:noFill/>
                          <a:ln w="6350" cap="flat" cmpd="sng" algn="ctr">
                            <a:solidFill>
                              <a:sysClr val="windowText" lastClr="000000"/>
                            </a:solidFill>
                            <a:prstDash val="solid"/>
                            <a:miter lim="800000"/>
                          </a:ln>
                          <a:effectLst/>
                        </wps:spPr>
                        <wps:txbx>
                          <w:txbxContent>
                            <w:p w14:paraId="62DA5F0F">
                              <w:pPr>
                                <w:spacing w:line="240" w:lineRule="auto"/>
                                <w:ind w:firstLine="0" w:firstLineChars="0"/>
                                <w:jc w:val="center"/>
                              </w:pPr>
                              <w:r>
                                <w:rPr>
                                  <w:rFonts w:hint="eastAsia"/>
                                </w:rPr>
                                <w:t>药物治疗方案调整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流程图: 过程 16"/>
                        <wps:cNvSpPr/>
                        <wps:spPr>
                          <a:xfrm>
                            <a:off x="1104537" y="6939795"/>
                            <a:ext cx="1594485" cy="276860"/>
                          </a:xfrm>
                          <a:prstGeom prst="flowChartProcess">
                            <a:avLst/>
                          </a:prstGeom>
                          <a:noFill/>
                          <a:ln w="6350" cap="flat" cmpd="sng" algn="ctr">
                            <a:solidFill>
                              <a:sysClr val="windowText" lastClr="000000"/>
                            </a:solidFill>
                            <a:prstDash val="solid"/>
                            <a:miter lim="800000"/>
                          </a:ln>
                          <a:effectLst/>
                        </wps:spPr>
                        <wps:txbx>
                          <w:txbxContent>
                            <w:p w14:paraId="648E0CCB">
                              <w:pPr>
                                <w:spacing w:line="240" w:lineRule="auto"/>
                                <w:ind w:firstLine="0" w:firstLineChars="0"/>
                                <w:jc w:val="center"/>
                              </w:pPr>
                              <w:r>
                                <w:rPr>
                                  <w:rFonts w:hint="eastAsia"/>
                                </w:rPr>
                                <w:t>患者出院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流程图: 过程 17"/>
                        <wps:cNvSpPr/>
                        <wps:spPr>
                          <a:xfrm>
                            <a:off x="1103448" y="7687491"/>
                            <a:ext cx="1594485" cy="276860"/>
                          </a:xfrm>
                          <a:prstGeom prst="flowChartProcess">
                            <a:avLst/>
                          </a:prstGeom>
                          <a:noFill/>
                          <a:ln w="6350" cap="flat" cmpd="sng" algn="ctr">
                            <a:solidFill>
                              <a:sysClr val="windowText" lastClr="000000"/>
                            </a:solidFill>
                            <a:prstDash val="solid"/>
                            <a:miter lim="800000"/>
                          </a:ln>
                          <a:effectLst/>
                        </wps:spPr>
                        <wps:txbx>
                          <w:txbxContent>
                            <w:p w14:paraId="2FA1A4F4">
                              <w:pPr>
                                <w:spacing w:line="240" w:lineRule="auto"/>
                                <w:ind w:firstLine="0" w:firstLineChars="0"/>
                                <w:jc w:val="center"/>
                              </w:pPr>
                              <w:r>
                                <w:rPr>
                                  <w:rFonts w:hint="eastAsia"/>
                                </w:rPr>
                                <w:t>跟踪随访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流程图: 可选过程 18"/>
                        <wps:cNvSpPr/>
                        <wps:spPr>
                          <a:xfrm>
                            <a:off x="3551555" y="2802890"/>
                            <a:ext cx="1970405" cy="1434465"/>
                          </a:xfrm>
                          <a:prstGeom prst="flowChartAlternateProcess">
                            <a:avLst/>
                          </a:prstGeom>
                          <a:noFill/>
                          <a:ln w="6350" cap="flat" cmpd="sng" algn="ctr">
                            <a:solidFill>
                              <a:sysClr val="windowText" lastClr="000000"/>
                            </a:solidFill>
                            <a:prstDash val="dash"/>
                            <a:miter lim="800000"/>
                          </a:ln>
                          <a:effectLst/>
                        </wps:spPr>
                        <wps:txbx>
                          <w:txbxContent>
                            <w:p w14:paraId="69484C4D">
                              <w:pPr>
                                <w:spacing w:line="240" w:lineRule="auto"/>
                                <w:ind w:firstLine="0" w:firstLineChars="0"/>
                                <w:jc w:val="left"/>
                                <w:rPr>
                                  <w:sz w:val="18"/>
                                  <w:szCs w:val="21"/>
                                </w:rPr>
                              </w:pPr>
                              <w:r>
                                <w:rPr>
                                  <w:rFonts w:hint="eastAsia"/>
                                  <w:sz w:val="18"/>
                                  <w:szCs w:val="21"/>
                                </w:rPr>
                                <w:t>1.冠心病患者用药安全性监护</w:t>
                              </w:r>
                            </w:p>
                            <w:p w14:paraId="15A4237B">
                              <w:pPr>
                                <w:spacing w:line="240" w:lineRule="auto"/>
                                <w:ind w:firstLine="0" w:firstLineChars="0"/>
                                <w:jc w:val="left"/>
                                <w:rPr>
                                  <w:sz w:val="18"/>
                                  <w:szCs w:val="21"/>
                                </w:rPr>
                              </w:pPr>
                              <w:r>
                                <w:rPr>
                                  <w:rFonts w:hint="eastAsia"/>
                                  <w:sz w:val="18"/>
                                  <w:szCs w:val="21"/>
                                </w:rPr>
                                <w:t>2.冠心病患者用药有效性监护</w:t>
                              </w:r>
                            </w:p>
                            <w:p w14:paraId="54F1E2AD">
                              <w:pPr>
                                <w:spacing w:line="240" w:lineRule="auto"/>
                                <w:ind w:firstLine="0" w:firstLineChars="0"/>
                                <w:jc w:val="left"/>
                                <w:rPr>
                                  <w:sz w:val="18"/>
                                  <w:szCs w:val="21"/>
                                </w:rPr>
                              </w:pPr>
                              <w:r>
                                <w:rPr>
                                  <w:rFonts w:hint="eastAsia"/>
                                  <w:sz w:val="18"/>
                                  <w:szCs w:val="21"/>
                                </w:rPr>
                                <w:t>3.特殊人群监护</w:t>
                              </w:r>
                            </w:p>
                            <w:p w14:paraId="5E91DB24">
                              <w:pPr>
                                <w:spacing w:line="240" w:lineRule="auto"/>
                                <w:ind w:firstLine="0" w:firstLineChars="0"/>
                                <w:jc w:val="left"/>
                                <w:rPr>
                                  <w:sz w:val="18"/>
                                  <w:szCs w:val="21"/>
                                </w:rPr>
                              </w:pPr>
                              <w:r>
                                <w:rPr>
                                  <w:rFonts w:hint="eastAsia"/>
                                  <w:sz w:val="18"/>
                                  <w:szCs w:val="21"/>
                                </w:rPr>
                                <w:t>4.特殊合并症人群监护</w:t>
                              </w:r>
                            </w:p>
                            <w:p w14:paraId="1C90DB2F">
                              <w:pPr>
                                <w:spacing w:line="240" w:lineRule="auto"/>
                                <w:ind w:firstLine="0" w:firstLineChars="0"/>
                                <w:jc w:val="left"/>
                                <w:rPr>
                                  <w:sz w:val="18"/>
                                  <w:szCs w:val="21"/>
                                </w:rPr>
                              </w:pPr>
                              <w:r>
                                <w:rPr>
                                  <w:rFonts w:hint="eastAsia"/>
                                  <w:sz w:val="18"/>
                                  <w:szCs w:val="21"/>
                                </w:rPr>
                                <w:t>5.用药经济性监护</w:t>
                              </w:r>
                            </w:p>
                            <w:p w14:paraId="7C354B26">
                              <w:pPr>
                                <w:spacing w:line="240" w:lineRule="auto"/>
                                <w:ind w:firstLine="0" w:firstLineChars="0"/>
                                <w:jc w:val="left"/>
                                <w:rPr>
                                  <w:sz w:val="18"/>
                                  <w:szCs w:val="21"/>
                                </w:rPr>
                              </w:pPr>
                              <w:r>
                                <w:rPr>
                                  <w:rFonts w:hint="eastAsia"/>
                                  <w:sz w:val="18"/>
                                  <w:szCs w:val="21"/>
                                </w:rPr>
                                <w:t>6.用药依从性监护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流程图: 可选过程 19"/>
                        <wps:cNvSpPr/>
                        <wps:spPr>
                          <a:xfrm>
                            <a:off x="3566795" y="4355465"/>
                            <a:ext cx="1976755" cy="1838325"/>
                          </a:xfrm>
                          <a:prstGeom prst="flowChartAlternateProcess">
                            <a:avLst/>
                          </a:prstGeom>
                          <a:noFill/>
                          <a:ln w="6350" cap="flat" cmpd="sng" algn="ctr">
                            <a:solidFill>
                              <a:sysClr val="windowText" lastClr="000000"/>
                            </a:solidFill>
                            <a:prstDash val="dash"/>
                            <a:miter lim="800000"/>
                          </a:ln>
                          <a:effectLst/>
                        </wps:spPr>
                        <wps:txbx>
                          <w:txbxContent>
                            <w:p w14:paraId="0A554D3C">
                              <w:pPr>
                                <w:spacing w:line="240" w:lineRule="auto"/>
                                <w:ind w:firstLine="0" w:firstLineChars="0"/>
                                <w:jc w:val="left"/>
                                <w:rPr>
                                  <w:sz w:val="18"/>
                                  <w:szCs w:val="21"/>
                                </w:rPr>
                              </w:pPr>
                              <w:r>
                                <w:rPr>
                                  <w:rFonts w:hint="eastAsia"/>
                                  <w:sz w:val="18"/>
                                  <w:szCs w:val="21"/>
                                </w:rPr>
                                <w:t>1.</w:t>
                              </w:r>
                              <w:r>
                                <w:rPr>
                                  <w:sz w:val="18"/>
                                  <w:szCs w:val="21"/>
                                </w:rPr>
                                <w:t>药学查房</w:t>
                              </w:r>
                            </w:p>
                            <w:p w14:paraId="0580A09C">
                              <w:pPr>
                                <w:spacing w:line="240" w:lineRule="auto"/>
                                <w:ind w:firstLine="0" w:firstLineChars="0"/>
                                <w:jc w:val="left"/>
                                <w:rPr>
                                  <w:sz w:val="18"/>
                                  <w:szCs w:val="21"/>
                                </w:rPr>
                              </w:pPr>
                              <w:r>
                                <w:rPr>
                                  <w:rFonts w:hint="eastAsia"/>
                                  <w:sz w:val="18"/>
                                  <w:szCs w:val="21"/>
                                </w:rPr>
                                <w:t>2.</w:t>
                              </w:r>
                              <w:r>
                                <w:rPr>
                                  <w:sz w:val="18"/>
                                  <w:szCs w:val="21"/>
                                </w:rPr>
                                <w:t>用药</w:t>
                              </w:r>
                              <w:r>
                                <w:rPr>
                                  <w:rFonts w:hint="eastAsia"/>
                                  <w:sz w:val="18"/>
                                  <w:szCs w:val="21"/>
                                </w:rPr>
                                <w:t>教育</w:t>
                              </w:r>
                            </w:p>
                            <w:p w14:paraId="329E41C9">
                              <w:pPr>
                                <w:spacing w:line="240" w:lineRule="auto"/>
                                <w:ind w:firstLine="0" w:firstLineChars="0"/>
                                <w:jc w:val="left"/>
                                <w:rPr>
                                  <w:sz w:val="18"/>
                                  <w:szCs w:val="21"/>
                                </w:rPr>
                              </w:pPr>
                              <w:r>
                                <w:rPr>
                                  <w:rFonts w:hint="eastAsia"/>
                                  <w:sz w:val="18"/>
                                  <w:szCs w:val="21"/>
                                </w:rPr>
                                <w:t>3.</w:t>
                              </w:r>
                              <w:r>
                                <w:rPr>
                                  <w:sz w:val="18"/>
                                  <w:szCs w:val="21"/>
                                </w:rPr>
                                <w:t>不良反应主动监测与处置</w:t>
                              </w:r>
                            </w:p>
                            <w:p w14:paraId="7C4E8FF0">
                              <w:pPr>
                                <w:spacing w:line="240" w:lineRule="auto"/>
                                <w:ind w:firstLine="0" w:firstLineChars="0"/>
                                <w:jc w:val="left"/>
                                <w:rPr>
                                  <w:sz w:val="18"/>
                                  <w:szCs w:val="21"/>
                                </w:rPr>
                              </w:pPr>
                              <w:r>
                                <w:rPr>
                                  <w:rFonts w:hint="eastAsia"/>
                                  <w:sz w:val="18"/>
                                  <w:szCs w:val="21"/>
                                </w:rPr>
                                <w:t>4.</w:t>
                              </w:r>
                              <w:r>
                                <w:rPr>
                                  <w:sz w:val="18"/>
                                  <w:szCs w:val="21"/>
                                </w:rPr>
                                <w:t>基因检测</w:t>
                              </w:r>
                            </w:p>
                            <w:p w14:paraId="6CF4D4CF">
                              <w:pPr>
                                <w:spacing w:line="240" w:lineRule="auto"/>
                                <w:ind w:firstLine="0" w:firstLineChars="0"/>
                                <w:jc w:val="left"/>
                                <w:rPr>
                                  <w:sz w:val="18"/>
                                  <w:szCs w:val="21"/>
                                </w:rPr>
                              </w:pPr>
                              <w:r>
                                <w:rPr>
                                  <w:rFonts w:hint="eastAsia"/>
                                  <w:sz w:val="18"/>
                                  <w:szCs w:val="21"/>
                                </w:rPr>
                                <w:t>5.</w:t>
                              </w:r>
                              <w:r>
                                <w:rPr>
                                  <w:sz w:val="18"/>
                                  <w:szCs w:val="21"/>
                                </w:rPr>
                                <w:t>血药浓度监测</w:t>
                              </w:r>
                            </w:p>
                            <w:p w14:paraId="0794F553">
                              <w:pPr>
                                <w:spacing w:line="240" w:lineRule="auto"/>
                                <w:ind w:firstLine="0" w:firstLineChars="0"/>
                                <w:jc w:val="left"/>
                                <w:rPr>
                                  <w:sz w:val="18"/>
                                  <w:szCs w:val="21"/>
                                </w:rPr>
                              </w:pPr>
                              <w:r>
                                <w:rPr>
                                  <w:rFonts w:hint="eastAsia"/>
                                  <w:sz w:val="18"/>
                                  <w:szCs w:val="21"/>
                                </w:rPr>
                                <w:t>6.</w:t>
                              </w:r>
                              <w:r>
                                <w:rPr>
                                  <w:sz w:val="18"/>
                                  <w:szCs w:val="21"/>
                                </w:rPr>
                                <w:t>药学会诊</w:t>
                              </w:r>
                            </w:p>
                            <w:p w14:paraId="789428D2">
                              <w:pPr>
                                <w:spacing w:line="240" w:lineRule="auto"/>
                                <w:ind w:firstLine="0" w:firstLineChars="0"/>
                                <w:jc w:val="left"/>
                                <w:rPr>
                                  <w:sz w:val="18"/>
                                  <w:szCs w:val="21"/>
                                </w:rPr>
                              </w:pPr>
                              <w:r>
                                <w:rPr>
                                  <w:rFonts w:hint="eastAsia"/>
                                  <w:sz w:val="18"/>
                                  <w:szCs w:val="21"/>
                                </w:rPr>
                                <w:t>7.药学病例讨论</w:t>
                              </w:r>
                            </w:p>
                            <w:p w14:paraId="66EEFEEA">
                              <w:pPr>
                                <w:spacing w:line="240" w:lineRule="auto"/>
                                <w:ind w:firstLine="0" w:firstLineChars="0"/>
                                <w:jc w:val="left"/>
                                <w:rPr>
                                  <w:sz w:val="18"/>
                                  <w:szCs w:val="21"/>
                                </w:rPr>
                              </w:pPr>
                              <w:r>
                                <w:rPr>
                                  <w:rFonts w:hint="eastAsia"/>
                                  <w:sz w:val="18"/>
                                  <w:szCs w:val="21"/>
                                </w:rPr>
                                <w:t>8.多学科联合诊疗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直接箭头连接符 21"/>
                        <wps:cNvCnPr/>
                        <wps:spPr>
                          <a:xfrm flipH="1">
                            <a:off x="1915160" y="880745"/>
                            <a:ext cx="3810" cy="231140"/>
                          </a:xfrm>
                          <a:prstGeom prst="straightConnector1">
                            <a:avLst/>
                          </a:prstGeom>
                          <a:noFill/>
                          <a:ln w="6350" cap="flat" cmpd="sng" algn="ctr">
                            <a:solidFill>
                              <a:sysClr val="windowText" lastClr="000000"/>
                            </a:solidFill>
                            <a:prstDash val="solid"/>
                            <a:miter lim="800000"/>
                            <a:tailEnd type="triangle"/>
                          </a:ln>
                          <a:effectLst/>
                        </wps:spPr>
                        <wps:bodyPr/>
                      </wps:wsp>
                      <wps:wsp>
                        <wps:cNvPr id="20" name="肘形连接符 23"/>
                        <wps:cNvCnPr/>
                        <wps:spPr>
                          <a:xfrm rot="5400000">
                            <a:off x="1098550" y="889439"/>
                            <a:ext cx="292735" cy="1335405"/>
                          </a:xfrm>
                          <a:prstGeom prst="bentConnector3">
                            <a:avLst>
                              <a:gd name="adj1" fmla="val 50108"/>
                            </a:avLst>
                          </a:prstGeom>
                          <a:noFill/>
                          <a:ln w="6350" cap="flat" cmpd="sng" algn="ctr">
                            <a:solidFill>
                              <a:sysClr val="windowText" lastClr="000000"/>
                            </a:solidFill>
                            <a:prstDash val="solid"/>
                            <a:miter lim="800000"/>
                            <a:tailEnd type="triangle"/>
                          </a:ln>
                          <a:effectLst/>
                        </wps:spPr>
                        <wps:bodyPr/>
                      </wps:wsp>
                      <wps:wsp>
                        <wps:cNvPr id="21" name="肘形连接符 26"/>
                        <wps:cNvCnPr/>
                        <wps:spPr>
                          <a:xfrm rot="5400000" flipV="1">
                            <a:off x="2534603" y="788792"/>
                            <a:ext cx="301625" cy="1545590"/>
                          </a:xfrm>
                          <a:prstGeom prst="bentConnector3">
                            <a:avLst>
                              <a:gd name="adj1" fmla="val 50105"/>
                            </a:avLst>
                          </a:prstGeom>
                          <a:noFill/>
                          <a:ln w="6350" cap="flat" cmpd="sng" algn="ctr">
                            <a:solidFill>
                              <a:sysClr val="windowText" lastClr="000000"/>
                            </a:solidFill>
                            <a:prstDash val="solid"/>
                            <a:miter lim="800000"/>
                            <a:tailEnd type="triangle"/>
                          </a:ln>
                          <a:effectLst/>
                        </wps:spPr>
                        <wps:bodyPr/>
                      </wps:wsp>
                      <wps:wsp>
                        <wps:cNvPr id="22" name="直接箭头连接符 31"/>
                        <wps:cNvCnPr/>
                        <wps:spPr>
                          <a:xfrm flipH="1">
                            <a:off x="1897380" y="3762103"/>
                            <a:ext cx="3175" cy="607332"/>
                          </a:xfrm>
                          <a:prstGeom prst="straightConnector1">
                            <a:avLst/>
                          </a:prstGeom>
                          <a:noFill/>
                          <a:ln w="6350" cap="flat" cmpd="sng" algn="ctr">
                            <a:solidFill>
                              <a:sysClr val="windowText" lastClr="000000"/>
                            </a:solidFill>
                            <a:prstDash val="solid"/>
                            <a:miter lim="800000"/>
                            <a:tailEnd type="triangle"/>
                          </a:ln>
                          <a:effectLst/>
                        </wps:spPr>
                        <wps:bodyPr/>
                      </wps:wsp>
                      <wps:wsp>
                        <wps:cNvPr id="23" name="直接连接符 32"/>
                        <wps:cNvCnPr/>
                        <wps:spPr>
                          <a:xfrm>
                            <a:off x="2753451" y="3586117"/>
                            <a:ext cx="796290" cy="4445"/>
                          </a:xfrm>
                          <a:prstGeom prst="line">
                            <a:avLst/>
                          </a:prstGeom>
                          <a:noFill/>
                          <a:ln w="6350" cap="flat" cmpd="sng" algn="ctr">
                            <a:solidFill>
                              <a:sysClr val="windowText" lastClr="000000"/>
                            </a:solidFill>
                            <a:prstDash val="solid"/>
                            <a:miter lim="800000"/>
                            <a:tailEnd type="none"/>
                          </a:ln>
                          <a:effectLst/>
                        </wps:spPr>
                        <wps:bodyPr/>
                      </wps:wsp>
                      <wps:wsp>
                        <wps:cNvPr id="25" name="直接连接符 33"/>
                        <wps:cNvCnPr/>
                        <wps:spPr>
                          <a:xfrm>
                            <a:off x="2757805" y="4528820"/>
                            <a:ext cx="841375" cy="6985"/>
                          </a:xfrm>
                          <a:prstGeom prst="line">
                            <a:avLst/>
                          </a:prstGeom>
                          <a:noFill/>
                          <a:ln w="6350" cap="flat" cmpd="sng" algn="ctr">
                            <a:solidFill>
                              <a:sysClr val="windowText" lastClr="000000"/>
                            </a:solidFill>
                            <a:prstDash val="solid"/>
                            <a:miter lim="800000"/>
                            <a:tailEnd type="none"/>
                          </a:ln>
                          <a:effectLst/>
                        </wps:spPr>
                        <wps:bodyPr/>
                      </wps:wsp>
                      <wps:wsp>
                        <wps:cNvPr id="26" name="直接箭头连接符 34"/>
                        <wps:cNvCnPr/>
                        <wps:spPr>
                          <a:xfrm>
                            <a:off x="1905409" y="4653643"/>
                            <a:ext cx="861" cy="386352"/>
                          </a:xfrm>
                          <a:prstGeom prst="straightConnector1">
                            <a:avLst/>
                          </a:prstGeom>
                          <a:noFill/>
                          <a:ln w="6350" cap="flat" cmpd="sng" algn="ctr">
                            <a:solidFill>
                              <a:sysClr val="windowText" lastClr="000000"/>
                            </a:solidFill>
                            <a:prstDash val="solid"/>
                            <a:miter lim="800000"/>
                            <a:tailEnd type="triangle"/>
                          </a:ln>
                          <a:effectLst/>
                        </wps:spPr>
                        <wps:bodyPr/>
                      </wps:wsp>
                      <wps:wsp>
                        <wps:cNvPr id="27" name="直接箭头连接符 37"/>
                        <wps:cNvCnPr/>
                        <wps:spPr>
                          <a:xfrm>
                            <a:off x="1888490" y="5365115"/>
                            <a:ext cx="0" cy="314325"/>
                          </a:xfrm>
                          <a:prstGeom prst="straightConnector1">
                            <a:avLst/>
                          </a:prstGeom>
                          <a:noFill/>
                          <a:ln w="6350" cap="flat" cmpd="sng" algn="ctr">
                            <a:solidFill>
                              <a:sysClr val="windowText" lastClr="000000"/>
                            </a:solidFill>
                            <a:prstDash val="solid"/>
                            <a:miter lim="800000"/>
                            <a:tailEnd type="triangle"/>
                          </a:ln>
                          <a:effectLst/>
                        </wps:spPr>
                        <wps:bodyPr/>
                      </wps:wsp>
                      <wps:wsp>
                        <wps:cNvPr id="28" name="直接箭头连接符 38"/>
                        <wps:cNvCnPr/>
                        <wps:spPr>
                          <a:xfrm flipH="1">
                            <a:off x="1888490" y="6626225"/>
                            <a:ext cx="5080" cy="317500"/>
                          </a:xfrm>
                          <a:prstGeom prst="straightConnector1">
                            <a:avLst/>
                          </a:prstGeom>
                          <a:noFill/>
                          <a:ln w="6350" cap="flat" cmpd="sng" algn="ctr">
                            <a:solidFill>
                              <a:sysClr val="windowText" lastClr="000000"/>
                            </a:solidFill>
                            <a:prstDash val="solid"/>
                            <a:miter lim="800000"/>
                            <a:tailEnd type="triangle"/>
                          </a:ln>
                          <a:effectLst/>
                        </wps:spPr>
                        <wps:bodyPr/>
                      </wps:wsp>
                      <wps:wsp>
                        <wps:cNvPr id="30" name="直接箭头连接符 39"/>
                        <wps:cNvCnPr/>
                        <wps:spPr>
                          <a:xfrm>
                            <a:off x="1888490" y="7229203"/>
                            <a:ext cx="0" cy="450367"/>
                          </a:xfrm>
                          <a:prstGeom prst="straightConnector1">
                            <a:avLst/>
                          </a:prstGeom>
                          <a:noFill/>
                          <a:ln w="6350" cap="flat" cmpd="sng" algn="ctr">
                            <a:solidFill>
                              <a:sysClr val="windowText" lastClr="000000"/>
                            </a:solidFill>
                            <a:prstDash val="solid"/>
                            <a:miter lim="800000"/>
                            <a:tailEnd type="triangle"/>
                          </a:ln>
                          <a:effectLst/>
                        </wps:spPr>
                        <wps:bodyPr/>
                      </wps:wsp>
                      <wps:wsp>
                        <wps:cNvPr id="31" name="文本框 41"/>
                        <wps:cNvSpPr txBox="1"/>
                        <wps:spPr>
                          <a:xfrm>
                            <a:off x="2044065" y="6612059"/>
                            <a:ext cx="365125" cy="308610"/>
                          </a:xfrm>
                          <a:prstGeom prst="rect">
                            <a:avLst/>
                          </a:prstGeom>
                          <a:solidFill>
                            <a:sysClr val="window" lastClr="FFFFFF"/>
                          </a:solidFill>
                          <a:ln w="6350">
                            <a:noFill/>
                          </a:ln>
                          <a:effectLst/>
                        </wps:spPr>
                        <wps:txbx>
                          <w:txbxContent>
                            <w:p w14:paraId="631A05D7">
                              <w:pPr>
                                <w:spacing w:line="240" w:lineRule="auto"/>
                                <w:ind w:firstLine="0" w:firstLineChars="0"/>
                              </w:pPr>
                              <w:r>
                                <w:rPr>
                                  <w:rFonts w:hint="eastAsia"/>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42"/>
                        <wps:cNvSpPr txBox="1"/>
                        <wps:spPr>
                          <a:xfrm>
                            <a:off x="640715" y="5775325"/>
                            <a:ext cx="314325" cy="308610"/>
                          </a:xfrm>
                          <a:prstGeom prst="rect">
                            <a:avLst/>
                          </a:prstGeom>
                          <a:solidFill>
                            <a:sysClr val="window" lastClr="FFFFFF"/>
                          </a:solidFill>
                          <a:ln w="6350">
                            <a:noFill/>
                          </a:ln>
                          <a:effectLst/>
                        </wps:spPr>
                        <wps:txbx>
                          <w:txbxContent>
                            <w:p w14:paraId="6CD31CF6">
                              <w:pPr>
                                <w:spacing w:line="240" w:lineRule="auto"/>
                                <w:ind w:firstLine="0" w:firstLineChars="0"/>
                              </w:pPr>
                              <w:r>
                                <w:rPr>
                                  <w:rFonts w:hint="eastAsia"/>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流程图: 可选过程 43"/>
                        <wps:cNvSpPr/>
                        <wps:spPr>
                          <a:xfrm>
                            <a:off x="3848735" y="6847840"/>
                            <a:ext cx="1915251" cy="372549"/>
                          </a:xfrm>
                          <a:prstGeom prst="flowChartAlternateProcess">
                            <a:avLst/>
                          </a:prstGeom>
                          <a:noFill/>
                          <a:ln w="6350" cap="flat" cmpd="sng" algn="ctr">
                            <a:solidFill>
                              <a:sysClr val="windowText" lastClr="000000"/>
                            </a:solidFill>
                            <a:prstDash val="dash"/>
                            <a:miter lim="800000"/>
                          </a:ln>
                          <a:effectLst/>
                        </wps:spPr>
                        <wps:txbx>
                          <w:txbxContent>
                            <w:p w14:paraId="11BD9758">
                              <w:pPr>
                                <w:ind w:firstLine="0" w:firstLineChars="0"/>
                                <w:jc w:val="left"/>
                                <w:rPr>
                                  <w:sz w:val="18"/>
                                  <w:szCs w:val="21"/>
                                </w:rPr>
                              </w:pPr>
                              <w:r>
                                <w:rPr>
                                  <w:rFonts w:hint="eastAsia"/>
                                  <w:sz w:val="18"/>
                                  <w:szCs w:val="21"/>
                                </w:rPr>
                                <w:t>出院用药教育、药历药物治疗总结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直接连接符 44"/>
                        <wps:cNvCnPr/>
                        <wps:spPr>
                          <a:xfrm flipV="1">
                            <a:off x="2736850" y="7047034"/>
                            <a:ext cx="1111250" cy="1270"/>
                          </a:xfrm>
                          <a:prstGeom prst="line">
                            <a:avLst/>
                          </a:prstGeom>
                          <a:noFill/>
                          <a:ln w="6350" cap="flat" cmpd="sng" algn="ctr">
                            <a:solidFill>
                              <a:sysClr val="windowText" lastClr="000000"/>
                            </a:solidFill>
                            <a:prstDash val="solid"/>
                            <a:miter lim="800000"/>
                            <a:tailEnd type="none"/>
                          </a:ln>
                          <a:effectLst/>
                        </wps:spPr>
                        <wps:bodyPr/>
                      </wps:wsp>
                      <wps:wsp>
                        <wps:cNvPr id="35" name="流程图: 过程 11"/>
                        <wps:cNvSpPr/>
                        <wps:spPr>
                          <a:xfrm>
                            <a:off x="1163320" y="3464923"/>
                            <a:ext cx="1594485" cy="276860"/>
                          </a:xfrm>
                          <a:prstGeom prst="flowChartProcess">
                            <a:avLst/>
                          </a:prstGeom>
                          <a:solidFill>
                            <a:sysClr val="window" lastClr="FFFFFF"/>
                          </a:solidFill>
                          <a:ln w="6350" cap="flat" cmpd="sng" algn="ctr">
                            <a:solidFill>
                              <a:sysClr val="windowText" lastClr="000000"/>
                            </a:solidFill>
                            <a:prstDash val="solid"/>
                            <a:miter lim="800000"/>
                          </a:ln>
                          <a:effectLst/>
                        </wps:spPr>
                        <wps:txbx>
                          <w:txbxContent>
                            <w:p w14:paraId="5CC153BD">
                              <w:pPr>
                                <w:spacing w:line="240" w:lineRule="auto"/>
                                <w:ind w:firstLine="0" w:firstLineChars="0"/>
                                <w:jc w:val="center"/>
                              </w:pPr>
                              <w:r>
                                <w:rPr>
                                  <w:rFonts w:hint="eastAsia"/>
                                </w:rPr>
                                <w:t>制定药学监护计划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直接连接符 32"/>
                        <wps:cNvCnPr/>
                        <wps:spPr>
                          <a:xfrm>
                            <a:off x="2704465" y="730250"/>
                            <a:ext cx="347345" cy="635"/>
                          </a:xfrm>
                          <a:prstGeom prst="line">
                            <a:avLst/>
                          </a:prstGeom>
                          <a:noFill/>
                          <a:ln w="6350" cap="flat" cmpd="sng" algn="ctr">
                            <a:solidFill>
                              <a:sysClr val="windowText" lastClr="000000"/>
                            </a:solidFill>
                            <a:prstDash val="solid"/>
                            <a:miter lim="800000"/>
                            <a:tailEnd type="none"/>
                          </a:ln>
                          <a:effectLst/>
                        </wps:spPr>
                        <wps:bodyPr/>
                      </wps:wsp>
                      <wps:wsp>
                        <wps:cNvPr id="38" name="流程图: 过程 6"/>
                        <wps:cNvSpPr/>
                        <wps:spPr>
                          <a:xfrm>
                            <a:off x="1115151" y="1132840"/>
                            <a:ext cx="1594800" cy="276860"/>
                          </a:xfrm>
                          <a:prstGeom prst="flowChartProcess">
                            <a:avLst/>
                          </a:prstGeom>
                          <a:noFill/>
                          <a:ln w="6350" cap="flat" cmpd="sng" algn="ctr">
                            <a:solidFill>
                              <a:sysClr val="windowText" lastClr="000000"/>
                            </a:solidFill>
                            <a:prstDash val="solid"/>
                            <a:miter lim="800000"/>
                          </a:ln>
                          <a:effectLst/>
                        </wps:spPr>
                        <wps:txbx>
                          <w:txbxContent>
                            <w:p w14:paraId="104C6B92">
                              <w:pPr>
                                <w:spacing w:line="240" w:lineRule="auto"/>
                                <w:ind w:firstLine="0" w:firstLineChars="0"/>
                                <w:jc w:val="center"/>
                              </w:pPr>
                              <w:r>
                                <w:rPr>
                                  <w:rFonts w:hint="eastAsia"/>
                                </w:rPr>
                                <w:t>患者信息收集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流程图: 过程 11"/>
                        <wps:cNvSpPr/>
                        <wps:spPr>
                          <a:xfrm>
                            <a:off x="1142365" y="2697480"/>
                            <a:ext cx="1594485" cy="276860"/>
                          </a:xfrm>
                          <a:prstGeom prst="flowChartProcess">
                            <a:avLst/>
                          </a:prstGeom>
                          <a:solidFill>
                            <a:sysClr val="window" lastClr="FFFFFF"/>
                          </a:solidFill>
                          <a:ln w="6350" cap="flat" cmpd="sng" algn="ctr">
                            <a:solidFill>
                              <a:sysClr val="windowText" lastClr="000000"/>
                            </a:solidFill>
                            <a:prstDash val="solid"/>
                            <a:miter lim="800000"/>
                          </a:ln>
                          <a:effectLst/>
                        </wps:spPr>
                        <wps:txbx>
                          <w:txbxContent>
                            <w:p w14:paraId="28563635">
                              <w:pPr>
                                <w:spacing w:line="240" w:lineRule="auto"/>
                                <w:ind w:firstLine="0" w:firstLineChars="0"/>
                                <w:jc w:val="center"/>
                              </w:pPr>
                              <w:r>
                                <w:rPr>
                                  <w:rFonts w:hint="eastAsia"/>
                                </w:rPr>
                                <w:t>确定药物治疗方案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肘形连接符 8"/>
                        <wps:cNvCnPr/>
                        <wps:spPr>
                          <a:xfrm rot="10800000" flipH="1">
                            <a:off x="833120" y="3596640"/>
                            <a:ext cx="330200" cy="2549525"/>
                          </a:xfrm>
                          <a:prstGeom prst="bentConnector3">
                            <a:avLst>
                              <a:gd name="adj1" fmla="val -69231"/>
                            </a:avLst>
                          </a:prstGeom>
                          <a:ln w="6350">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wps:wsp>
                        <wps:cNvPr id="41" name="肘形连接符 9"/>
                        <wps:cNvCnPr/>
                        <wps:spPr>
                          <a:xfrm rot="5400000" flipV="1">
                            <a:off x="2022476" y="628785"/>
                            <a:ext cx="7620" cy="2880000"/>
                          </a:xfrm>
                          <a:prstGeom prst="bentConnector3">
                            <a:avLst>
                              <a:gd name="adj1" fmla="val 3220833"/>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964405607" name="直接箭头连接符 964405607"/>
                        <wps:cNvCnPr/>
                        <wps:spPr>
                          <a:xfrm flipH="1">
                            <a:off x="1921805" y="361315"/>
                            <a:ext cx="3810" cy="231140"/>
                          </a:xfrm>
                          <a:prstGeom prst="straightConnector1">
                            <a:avLst/>
                          </a:prstGeom>
                          <a:noFill/>
                          <a:ln w="6350" cap="flat" cmpd="sng" algn="ctr">
                            <a:solidFill>
                              <a:sysClr val="windowText" lastClr="000000"/>
                            </a:solidFill>
                            <a:prstDash val="solid"/>
                            <a:miter lim="800000"/>
                            <a:tailEnd type="triangle"/>
                          </a:ln>
                          <a:effectLst/>
                        </wps:spPr>
                        <wps:bodyPr/>
                      </wps:wsp>
                      <wps:wsp>
                        <wps:cNvPr id="1012336886" name="直接箭头连接符 1012336886"/>
                        <wps:cNvCnPr/>
                        <wps:spPr>
                          <a:xfrm flipH="1">
                            <a:off x="1911350" y="1568595"/>
                            <a:ext cx="3810" cy="144000"/>
                          </a:xfrm>
                          <a:prstGeom prst="straightConnector1">
                            <a:avLst/>
                          </a:prstGeom>
                          <a:noFill/>
                          <a:ln w="6350" cap="flat" cmpd="sng" algn="ctr">
                            <a:solidFill>
                              <a:sysClr val="windowText" lastClr="000000"/>
                            </a:solidFill>
                            <a:prstDash val="solid"/>
                            <a:miter lim="800000"/>
                            <a:tailEnd type="triangle"/>
                          </a:ln>
                          <a:effectLst/>
                        </wps:spPr>
                        <wps:bodyPr/>
                      </wps:wsp>
                      <wps:wsp>
                        <wps:cNvPr id="1356579600" name="直接箭头连接符 1356579600"/>
                        <wps:cNvCnPr/>
                        <wps:spPr>
                          <a:xfrm flipH="1">
                            <a:off x="1910171" y="2072595"/>
                            <a:ext cx="5624" cy="624885"/>
                          </a:xfrm>
                          <a:prstGeom prst="straightConnector1">
                            <a:avLst/>
                          </a:prstGeom>
                          <a:noFill/>
                          <a:ln w="6350" cap="flat" cmpd="sng" algn="ctr">
                            <a:solidFill>
                              <a:sysClr val="windowText" lastClr="000000"/>
                            </a:solidFill>
                            <a:prstDash val="solid"/>
                            <a:miter lim="800000"/>
                            <a:tailEnd type="triangle"/>
                          </a:ln>
                          <a:effectLst/>
                        </wps:spPr>
                        <wps:bodyPr/>
                      </wps:wsp>
                      <wps:wsp>
                        <wps:cNvPr id="188396387" name="直接箭头连接符 188396387"/>
                        <wps:cNvCnPr/>
                        <wps:spPr>
                          <a:xfrm flipH="1">
                            <a:off x="1905409" y="2974340"/>
                            <a:ext cx="4762" cy="490583"/>
                          </a:xfrm>
                          <a:prstGeom prst="straightConnector1">
                            <a:avLst/>
                          </a:prstGeom>
                          <a:noFill/>
                          <a:ln w="6350" cap="flat" cmpd="sng" algn="ctr">
                            <a:solidFill>
                              <a:sysClr val="windowText" lastClr="000000"/>
                            </a:solidFill>
                            <a:prstDash val="solid"/>
                            <a:miter lim="800000"/>
                            <a:tailEnd type="triangle"/>
                          </a:ln>
                          <a:effectLst/>
                        </wps:spPr>
                        <wps:bodyPr/>
                      </wps:wsp>
                      <wps:wsp>
                        <wps:cNvPr id="596189446" name="直接箭头连接符 596189446"/>
                        <wps:cNvCnPr/>
                        <wps:spPr>
                          <a:xfrm>
                            <a:off x="1028940" y="1905000"/>
                            <a:ext cx="396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64852718" name="直接箭头连接符 464852718"/>
                        <wps:cNvCnPr/>
                        <wps:spPr>
                          <a:xfrm flipH="1">
                            <a:off x="2410256" y="1905000"/>
                            <a:ext cx="425019" cy="0"/>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anchor>
            </w:drawing>
          </mc:Choice>
          <mc:Fallback>
            <w:pict>
              <v:group id="_x0000_s1026" o:spid="_x0000_s1026" o:spt="203" style="position:absolute;left:0pt;margin-left:-30.85pt;margin-top:0pt;height:638.5pt;width:484pt;mso-wrap-distance-bottom:0pt;mso-wrap-distance-top:0pt;z-index:251681792;mso-width-relative:page;mso-height-relative:page;" coordsize="6146800,8108950" editas="canvas" o:gfxdata="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">
                <o:lock v:ext="edit" aspectratio="f"/>
                <v:shape id="_x0000_s1026" o:spid="_x0000_s1026" style="position:absolute;left:0;top:0;height:8108950;width:6146800;" filled="f" stroked="f" coordsize="21600,21600" o:gfxdata="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">
                  <v:fill on="f" focussize="0,0"/>
                  <v:stroke on="f"/>
                  <v:imagedata o:title=""/>
                  <o:lock v:ext="edit" aspectratio="f"/>
                </v:shape>
                <v:shape id="_x0000_s1026" o:spid="_x0000_s1026" o:spt="109" type="#_x0000_t109" style="position:absolute;left:1121229;top:77652;height:276860;width:1594800;v-text-anchor:middle;" filled="f" stroked="t" coordsize="21600,21600" o:gfxdata="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PEsNpzWAAAACQEAAA8AAAAAAAAAAQAgAAAAIgAAAGRycy9kb3ducmV2Lnht&#10;bFBLAQIUABQAAAAIAIdO4kD49irMpgIAABgFAAAOAAAAAAAAAAEAIAAAACUBAABkcnMvZTJvRG9j&#10;LnhtbFBLBQYAAAAABgAGAFkBAAA9BgAAAAA=&#10;">
                  <v:fill on="f" focussize="0,0"/>
                  <v:stroke weight="0.5pt" color="#000000" miterlimit="8" joinstyle="miter"/>
                  <v:imagedata o:title=""/>
                  <o:lock v:ext="edit" aspectratio="f"/>
                  <v:textbox>
                    <w:txbxContent>
                      <w:p w14:paraId="61D9CC71">
                        <w:pPr>
                          <w:spacing w:line="240" w:lineRule="auto"/>
                          <w:ind w:firstLine="0" w:firstLineChars="0"/>
                          <w:jc w:val="center"/>
                        </w:pPr>
                        <w:r>
                          <w:rPr>
                            <w:rFonts w:hint="eastAsia"/>
                          </w:rPr>
                          <w:t>患者入院</w:t>
                        </w:r>
                      </w:p>
                    </w:txbxContent>
                  </v:textbox>
                </v:shape>
                <v:shape id="流程图: 过程 6" o:spid="_x0000_s1026" o:spt="109" type="#_x0000_t109" style="position:absolute;left:1117600;top:592455;height:276860;width:1594800;v-text-anchor:middle;" filled="f" stroked="t" coordsize="21600,21600" o:gfxdata="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Sw2nNYAAAAJAQAADwAAAAAAAAABACAAAAAiAAAAZHJzL2Rvd25yZXYueG1s&#10;UEsBAhQAFAAAAAgAh07iQHGheNClAgAAGQUAAA4AAAAAAAAAAQAgAAAAJQEAAGRycy9lMm9Eb2Mu&#10;eG1sUEsFBgAAAAAGAAYAWQEAADwGAAAAAA==&#10;">
                  <v:fill on="f" focussize="0,0"/>
                  <v:stroke weight="0.5pt" color="#000000" miterlimit="8" joinstyle="miter"/>
                  <v:imagedata o:title=""/>
                  <o:lock v:ext="edit" aspectratio="f"/>
                  <v:textbox>
                    <w:txbxContent>
                      <w:p w14:paraId="34E069E8">
                        <w:pPr>
                          <w:spacing w:line="240" w:lineRule="auto"/>
                          <w:ind w:firstLine="0" w:firstLineChars="0"/>
                          <w:jc w:val="center"/>
                        </w:pPr>
                        <w:r>
                          <w:rPr>
                            <w:rFonts w:hint="eastAsia"/>
                          </w:rPr>
                          <w:t>药学查房</w:t>
                        </w:r>
                      </w:p>
                    </w:txbxContent>
                  </v:textbox>
                </v:shape>
                <v:shape id="流程图: 过程 8" o:spid="_x0000_s1026" o:spt="109" type="#_x0000_t109" style="position:absolute;left:125095;top:1703509;height:360000;width:904240;v-text-anchor:middle;" filled="f" stroked="t" coordsize="21600,21600" o:gfxdata="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PEsNpzWAAAACQEAAA8AAAAAAAAAAQAgAAAAIgAAAGRycy9kb3ducmV2LnhtbFBLAQIUABQA&#10;AAAIAIdO4kAVvaAWnQIAABgFAAAOAAAAAAAAAAEAIAAAACUBAABkcnMvZTJvRG9jLnhtbFBLBQYA&#10;AAAABgAGAFkBAAA0BgAAAAA=&#10;">
                  <v:fill on="f" focussize="0,0"/>
                  <v:stroke weight="0.5pt" color="#000000" miterlimit="8" joinstyle="miter"/>
                  <v:imagedata o:title=""/>
                  <o:lock v:ext="edit" aspectratio="f"/>
                  <v:textbox>
                    <w:txbxContent>
                      <w:p w14:paraId="12BAAE45">
                        <w:pPr>
                          <w:spacing w:line="240" w:lineRule="auto"/>
                          <w:ind w:firstLine="0" w:firstLineChars="0"/>
                          <w:jc w:val="center"/>
                        </w:pPr>
                        <w:r>
                          <w:rPr>
                            <w:rFonts w:hint="eastAsia"/>
                          </w:rPr>
                          <w:t>药学评估</w:t>
                        </w:r>
                      </w:p>
                    </w:txbxContent>
                  </v:textbox>
                </v:shape>
                <v:shape id="_x0000_s1026" o:spid="_x0000_s1026" o:spt="109" type="#_x0000_t109" style="position:absolute;left:1424940;top:1712595;height:360000;width:981710;v-text-anchor:middle;" filled="f" stroked="t" coordsize="21600,21600" o:gfxdata="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8Sw2nNYAAAAJAQAADwAAAAAAAAABACAAAAAiAAAAZHJzL2Rvd25yZXYueG1sUEsBAhQA&#10;FAAAAAgAh07iQJf/EISfAgAAGQUAAA4AAAAAAAAAAQAgAAAAJQEAAGRycy9lMm9Eb2MueG1sUEsF&#10;BgAAAAAGAAYAWQEAADYGAAAAAA==&#10;">
                  <v:fill on="f" focussize="0,0"/>
                  <v:stroke weight="0.5pt" color="#000000" miterlimit="8" joinstyle="miter"/>
                  <v:imagedata o:title=""/>
                  <o:lock v:ext="edit" aspectratio="f"/>
                  <v:textbox>
                    <w:txbxContent>
                      <w:p w14:paraId="361EF084">
                        <w:pPr>
                          <w:spacing w:line="240" w:lineRule="auto"/>
                          <w:ind w:firstLine="0" w:firstLineChars="0"/>
                          <w:jc w:val="center"/>
                        </w:pPr>
                        <w:r>
                          <w:rPr>
                            <w:rFonts w:hint="eastAsia"/>
                          </w:rPr>
                          <w:t>临床沟通</w:t>
                        </w:r>
                      </w:p>
                    </w:txbxContent>
                  </v:textbox>
                </v:shape>
                <v:shape id="_x0000_s1026" o:spid="_x0000_s1026" o:spt="109" type="#_x0000_t109" style="position:absolute;left:2835275;top:1712595;height:360000;width:981710;v-text-anchor:middle;" filled="f" stroked="t" coordsize="21600,21600" o:gfxdata="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xLDac1gAAAAkBAAAPAAAAAAAAAAEAIAAAACIAAABkcnMvZG93bnJldi54bWxQSwEC&#10;FAAUAAAACACHTuJA4EdM/6ECAAAbBQAADgAAAAAAAAABACAAAAAlAQAAZHJzL2Uyb0RvYy54bWxQ&#10;SwUGAAAAAAYABgBZAQAAOAYAAAAA&#10;">
                  <v:fill on="f" focussize="0,0"/>
                  <v:stroke weight="0.5pt" color="#000000" miterlimit="8" joinstyle="miter"/>
                  <v:imagedata o:title=""/>
                  <o:lock v:ext="edit" aspectratio="f"/>
                  <v:textbox>
                    <w:txbxContent>
                      <w:p w14:paraId="30FF0618">
                        <w:pPr>
                          <w:spacing w:line="240" w:lineRule="auto"/>
                          <w:ind w:firstLine="0" w:firstLineChars="0"/>
                          <w:jc w:val="center"/>
                        </w:pPr>
                        <w:r>
                          <w:rPr>
                            <w:rFonts w:hint="eastAsia"/>
                          </w:rPr>
                          <w:t>药物重整</w:t>
                        </w:r>
                      </w:p>
                    </w:txbxContent>
                  </v:textbox>
                </v:shape>
                <v:shape id="流程图: 过程 12" o:spid="_x0000_s1026" o:spt="109" type="#_x0000_t109" style="position:absolute;left:3054350;top:599440;height:276860;width:1449070;v-text-anchor:middle;" filled="f" stroked="t" coordsize="21600,21600" o:gfxdata="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PCJmGDWAAAACQEAAA8AAAAAAAAAAQAgAAAAIgAAAGRycy9kb3ducmV2LnhtbFBL&#10;AQIUABQAAAAIAIdO4kBR2qGNowIAABoFAAAOAAAAAAAAAAEAIAAAACUBAABkcnMvZTJvRG9jLnht&#10;bFBLBQYAAAAABgAGAFkBAAA6BgAAAAA=&#10;">
                  <v:fill on="f" focussize="0,0"/>
                  <v:stroke weight="0.5pt" color="#000000" miterlimit="8" joinstyle="miter" dashstyle="dash"/>
                  <v:imagedata o:title=""/>
                  <o:lock v:ext="edit" aspectratio="f"/>
                  <v:textbox>
                    <w:txbxContent>
                      <w:p w14:paraId="1A8EE12D">
                        <w:pPr>
                          <w:spacing w:line="240" w:lineRule="auto"/>
                          <w:ind w:firstLine="0" w:firstLineChars="0"/>
                          <w:jc w:val="center"/>
                        </w:pPr>
                        <w:r>
                          <w:rPr>
                            <w:rFonts w:hint="eastAsia"/>
                          </w:rPr>
                          <w:t>建立药历</w:t>
                        </w:r>
                      </w:p>
                    </w:txbxContent>
                  </v:textbox>
                </v:shape>
                <v:shape id="流程图: 过程 13" o:spid="_x0000_s1026" o:spt="109" type="#_x0000_t109" style="position:absolute;left:1163320;top:4369435;height:276860;width:1594485;v-text-anchor:middle;" filled="f" stroked="t" coordsize="21600,21600" o:gfxdata="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PEsNpzWAAAACQEAAA8AAAAAAAAAAQAgAAAAIgAAAGRycy9kb3ducmV2Lnht&#10;bFBLAQIUABQAAAAIAIdO4kBkywTupgIAABwFAAAOAAAAAAAAAAEAIAAAACUBAABkcnMvZTJvRG9j&#10;LnhtbFBLBQYAAAAABgAGAFkBAAA9BgAAAAA=&#10;">
                  <v:fill on="f" focussize="0,0"/>
                  <v:stroke weight="0.5pt" color="#000000" miterlimit="8" joinstyle="miter"/>
                  <v:imagedata o:title=""/>
                  <o:lock v:ext="edit" aspectratio="f"/>
                  <v:textbox>
                    <w:txbxContent>
                      <w:p w14:paraId="0AE653F7">
                        <w:pPr>
                          <w:spacing w:line="240" w:lineRule="auto"/>
                          <w:ind w:firstLine="0" w:firstLineChars="0"/>
                          <w:jc w:val="center"/>
                        </w:pPr>
                        <w:r>
                          <w:rPr>
                            <w:rFonts w:hint="eastAsia"/>
                          </w:rPr>
                          <w:t>实施药学监护计划</w:t>
                        </w:r>
                      </w:p>
                    </w:txbxContent>
                  </v:textbox>
                </v:shape>
                <v:shape id="流程图: 过程 14" o:spid="_x0000_s1026" o:spt="109" type="#_x0000_t109" style="position:absolute;left:662305;top:5016500;height:348615;width:2484755;v-text-anchor:middle;" filled="f" stroked="t" coordsize="21600,21600" o:gfxdata="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Sw2nNYAAAAJAQAADwAAAAAAAAABACAAAAAiAAAAZHJzL2Rvd25yZXYueG1s&#10;UEsBAhQAFAAAAAgAh07iQDI3nhalAgAAGwUAAA4AAAAAAAAAAQAgAAAAJQEAAGRycy9lMm9Eb2Mu&#10;eG1sUEsFBgAAAAAGAAYAWQEAADwGAAAAAA==&#10;">
                  <v:fill on="f" focussize="0,0"/>
                  <v:stroke weight="0.5pt" color="#000000" miterlimit="8" joinstyle="miter"/>
                  <v:imagedata o:title=""/>
                  <o:lock v:ext="edit" aspectratio="f"/>
                  <v:textbox>
                    <w:txbxContent>
                      <w:p w14:paraId="62E57A83">
                        <w:pPr>
                          <w:ind w:firstLine="0" w:firstLineChars="0"/>
                        </w:pPr>
                        <w:r>
                          <w:rPr>
                            <w:rFonts w:hint="eastAsia"/>
                          </w:rPr>
                          <w:t>协助临床进行药物治疗效果综合评估</w:t>
                        </w:r>
                      </w:p>
                    </w:txbxContent>
                  </v:textbox>
                </v:shape>
                <v:shape id="流程图: 决策 15" o:spid="_x0000_s1026" o:spt="110" type="#_x0000_t110" style="position:absolute;left:833120;top:5679440;height:946785;width:2110105;v-text-anchor:middle;" filled="f" stroked="t" coordsize="21600,21600" o:gfxdata="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na1UXdQAAAAJAQAADwAAAAAAAAABACAAAAAiAAAAZHJzL2Rvd25yZXYu&#10;eG1sUEsBAhQAFAAAAAgAh07iQPYzW2OqAgAAHAUAAA4AAAAAAAAAAQAgAAAAIwEAAGRycy9lMm9E&#10;b2MueG1sUEsFBgAAAAAGAAYAWQEAAD8GAAAAAA==&#10;">
                  <v:fill on="f" focussize="0,0"/>
                  <v:stroke weight="0.5pt" color="#000000" miterlimit="8" joinstyle="miter"/>
                  <v:imagedata o:title=""/>
                  <o:lock v:ext="edit" aspectratio="f"/>
                  <v:textbox>
                    <w:txbxContent>
                      <w:p w14:paraId="62DA5F0F">
                        <w:pPr>
                          <w:spacing w:line="240" w:lineRule="auto"/>
                          <w:ind w:firstLine="0" w:firstLineChars="0"/>
                          <w:jc w:val="center"/>
                        </w:pPr>
                        <w:r>
                          <w:rPr>
                            <w:rFonts w:hint="eastAsia"/>
                          </w:rPr>
                          <w:t>药物治疗方案调整</w:t>
                        </w:r>
                      </w:p>
                    </w:txbxContent>
                  </v:textbox>
                </v:shape>
                <v:shape id="流程图: 过程 16" o:spid="_x0000_s1026" o:spt="109" type="#_x0000_t109" style="position:absolute;left:1104537;top:6939795;height:276860;width:1594485;v-text-anchor:middle;" filled="f" stroked="t" coordsize="21600,21600" o:gfxdata="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PEsNpzWAAAACQEAAA8AAAAAAAAAAQAgAAAAIgAAAGRycy9kb3ducmV2Lnht&#10;bFBLAQIUABQAAAAIAIdO4kCkFa1TpgIAABwFAAAOAAAAAAAAAAEAIAAAACUBAABkcnMvZTJvRG9j&#10;LnhtbFBLBQYAAAAABgAGAFkBAAA9BgAAAAA=&#10;">
                  <v:fill on="f" focussize="0,0"/>
                  <v:stroke weight="0.5pt" color="#000000" miterlimit="8" joinstyle="miter"/>
                  <v:imagedata o:title=""/>
                  <o:lock v:ext="edit" aspectratio="f"/>
                  <v:textbox>
                    <w:txbxContent>
                      <w:p w14:paraId="648E0CCB">
                        <w:pPr>
                          <w:spacing w:line="240" w:lineRule="auto"/>
                          <w:ind w:firstLine="0" w:firstLineChars="0"/>
                          <w:jc w:val="center"/>
                        </w:pPr>
                        <w:r>
                          <w:rPr>
                            <w:rFonts w:hint="eastAsia"/>
                          </w:rPr>
                          <w:t>患者出院</w:t>
                        </w:r>
                      </w:p>
                    </w:txbxContent>
                  </v:textbox>
                </v:shape>
                <v:shape id="流程图: 过程 17" o:spid="_x0000_s1026" o:spt="109" type="#_x0000_t109" style="position:absolute;left:1103448;top:7687491;height:276860;width:1594485;v-text-anchor:middle;" filled="f" stroked="t" coordsize="21600,21600" o:gfxdata="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Sw2nNYAAAAJAQAADwAAAAAAAAABACAAAAAiAAAAZHJzL2Rvd25yZXYueG1s&#10;UEsBAhQAFAAAAAgAh07iQAdCMo+lAgAAHAUAAA4AAAAAAAAAAQAgAAAAJQEAAGRycy9lMm9Eb2Mu&#10;eG1sUEsFBgAAAAAGAAYAWQEAADwGAAAAAA==&#10;">
                  <v:fill on="f" focussize="0,0"/>
                  <v:stroke weight="0.5pt" color="#000000" miterlimit="8" joinstyle="miter"/>
                  <v:imagedata o:title=""/>
                  <o:lock v:ext="edit" aspectratio="f"/>
                  <v:textbox>
                    <w:txbxContent>
                      <w:p w14:paraId="2FA1A4F4">
                        <w:pPr>
                          <w:spacing w:line="240" w:lineRule="auto"/>
                          <w:ind w:firstLine="0" w:firstLineChars="0"/>
                          <w:jc w:val="center"/>
                        </w:pPr>
                        <w:r>
                          <w:rPr>
                            <w:rFonts w:hint="eastAsia"/>
                          </w:rPr>
                          <w:t>跟踪随访</w:t>
                        </w:r>
                      </w:p>
                    </w:txbxContent>
                  </v:textbox>
                </v:shape>
                <v:shape id="流程图: 可选过程 18" o:spid="_x0000_s1026" o:spt="176" type="#_x0000_t176" style="position:absolute;left:3551555;top:2802890;height:1434465;width:1970405;v-text-anchor:middle;" filled="f" stroked="t" coordsize="21600,21600" o:gfxdata="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HD4XmzYAAAACQEAAA8AAAAAAAAAAQAg&#10;AAAAIgAAAGRycy9kb3ducmV2LnhtbFBLAQIUABQAAAAIAIdO4kAEgNOruQIAACsFAAAOAAAAAAAA&#10;AAEAIAAAACcBAABkcnMvZTJvRG9jLnhtbFBLBQYAAAAABgAGAFkBAABSBgAAAAA=&#10;">
                  <v:fill on="f" focussize="0,0"/>
                  <v:stroke weight="0.5pt" color="#000000" miterlimit="8" joinstyle="miter" dashstyle="dash"/>
                  <v:imagedata o:title=""/>
                  <o:lock v:ext="edit" aspectratio="f"/>
                  <v:textbox>
                    <w:txbxContent>
                      <w:p w14:paraId="69484C4D">
                        <w:pPr>
                          <w:spacing w:line="240" w:lineRule="auto"/>
                          <w:ind w:firstLine="0" w:firstLineChars="0"/>
                          <w:jc w:val="left"/>
                          <w:rPr>
                            <w:sz w:val="18"/>
                            <w:szCs w:val="21"/>
                          </w:rPr>
                        </w:pPr>
                        <w:r>
                          <w:rPr>
                            <w:rFonts w:hint="eastAsia"/>
                            <w:sz w:val="18"/>
                            <w:szCs w:val="21"/>
                          </w:rPr>
                          <w:t>1.冠心病患者用药安全性监护</w:t>
                        </w:r>
                      </w:p>
                      <w:p w14:paraId="15A4237B">
                        <w:pPr>
                          <w:spacing w:line="240" w:lineRule="auto"/>
                          <w:ind w:firstLine="0" w:firstLineChars="0"/>
                          <w:jc w:val="left"/>
                          <w:rPr>
                            <w:sz w:val="18"/>
                            <w:szCs w:val="21"/>
                          </w:rPr>
                        </w:pPr>
                        <w:r>
                          <w:rPr>
                            <w:rFonts w:hint="eastAsia"/>
                            <w:sz w:val="18"/>
                            <w:szCs w:val="21"/>
                          </w:rPr>
                          <w:t>2.冠心病患者用药有效性监护</w:t>
                        </w:r>
                      </w:p>
                      <w:p w14:paraId="54F1E2AD">
                        <w:pPr>
                          <w:spacing w:line="240" w:lineRule="auto"/>
                          <w:ind w:firstLine="0" w:firstLineChars="0"/>
                          <w:jc w:val="left"/>
                          <w:rPr>
                            <w:sz w:val="18"/>
                            <w:szCs w:val="21"/>
                          </w:rPr>
                        </w:pPr>
                        <w:r>
                          <w:rPr>
                            <w:rFonts w:hint="eastAsia"/>
                            <w:sz w:val="18"/>
                            <w:szCs w:val="21"/>
                          </w:rPr>
                          <w:t>3.特殊人群监护</w:t>
                        </w:r>
                      </w:p>
                      <w:p w14:paraId="5E91DB24">
                        <w:pPr>
                          <w:spacing w:line="240" w:lineRule="auto"/>
                          <w:ind w:firstLine="0" w:firstLineChars="0"/>
                          <w:jc w:val="left"/>
                          <w:rPr>
                            <w:sz w:val="18"/>
                            <w:szCs w:val="21"/>
                          </w:rPr>
                        </w:pPr>
                        <w:r>
                          <w:rPr>
                            <w:rFonts w:hint="eastAsia"/>
                            <w:sz w:val="18"/>
                            <w:szCs w:val="21"/>
                          </w:rPr>
                          <w:t>4.特殊合并症人群监护</w:t>
                        </w:r>
                      </w:p>
                      <w:p w14:paraId="1C90DB2F">
                        <w:pPr>
                          <w:spacing w:line="240" w:lineRule="auto"/>
                          <w:ind w:firstLine="0" w:firstLineChars="0"/>
                          <w:jc w:val="left"/>
                          <w:rPr>
                            <w:sz w:val="18"/>
                            <w:szCs w:val="21"/>
                          </w:rPr>
                        </w:pPr>
                        <w:r>
                          <w:rPr>
                            <w:rFonts w:hint="eastAsia"/>
                            <w:sz w:val="18"/>
                            <w:szCs w:val="21"/>
                          </w:rPr>
                          <w:t>5.用药经济性监护</w:t>
                        </w:r>
                      </w:p>
                      <w:p w14:paraId="7C354B26">
                        <w:pPr>
                          <w:spacing w:line="240" w:lineRule="auto"/>
                          <w:ind w:firstLine="0" w:firstLineChars="0"/>
                          <w:jc w:val="left"/>
                          <w:rPr>
                            <w:sz w:val="18"/>
                            <w:szCs w:val="21"/>
                          </w:rPr>
                        </w:pPr>
                        <w:r>
                          <w:rPr>
                            <w:rFonts w:hint="eastAsia"/>
                            <w:sz w:val="18"/>
                            <w:szCs w:val="21"/>
                          </w:rPr>
                          <w:t>6.用药依从性监护</w:t>
                        </w:r>
                      </w:p>
                    </w:txbxContent>
                  </v:textbox>
                </v:shape>
                <v:shape id="流程图: 可选过程 19" o:spid="_x0000_s1026" o:spt="176" type="#_x0000_t176" style="position:absolute;left:3566795;top:4355465;height:1838325;width:1976755;v-text-anchor:middle;" filled="f" stroked="t" coordsize="21600,21600" o:gfxdata="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w+F5s2AAAAAkBAAAPAAAAAAAAAAEA&#10;IAAAACIAAABkcnMvZG93bnJldi54bWxQSwECFAAUAAAACACHTuJAW5iDlLoCAAArBQAADgAAAAAA&#10;AAABACAAAAAnAQAAZHJzL2Uyb0RvYy54bWxQSwUGAAAAAAYABgBZAQAAUwYAAAAA&#10;">
                  <v:fill on="f" focussize="0,0"/>
                  <v:stroke weight="0.5pt" color="#000000" miterlimit="8" joinstyle="miter" dashstyle="dash"/>
                  <v:imagedata o:title=""/>
                  <o:lock v:ext="edit" aspectratio="f"/>
                  <v:textbox>
                    <w:txbxContent>
                      <w:p w14:paraId="0A554D3C">
                        <w:pPr>
                          <w:spacing w:line="240" w:lineRule="auto"/>
                          <w:ind w:firstLine="0" w:firstLineChars="0"/>
                          <w:jc w:val="left"/>
                          <w:rPr>
                            <w:sz w:val="18"/>
                            <w:szCs w:val="21"/>
                          </w:rPr>
                        </w:pPr>
                        <w:r>
                          <w:rPr>
                            <w:rFonts w:hint="eastAsia"/>
                            <w:sz w:val="18"/>
                            <w:szCs w:val="21"/>
                          </w:rPr>
                          <w:t>1.</w:t>
                        </w:r>
                        <w:r>
                          <w:rPr>
                            <w:sz w:val="18"/>
                            <w:szCs w:val="21"/>
                          </w:rPr>
                          <w:t>药学查房</w:t>
                        </w:r>
                      </w:p>
                      <w:p w14:paraId="0580A09C">
                        <w:pPr>
                          <w:spacing w:line="240" w:lineRule="auto"/>
                          <w:ind w:firstLine="0" w:firstLineChars="0"/>
                          <w:jc w:val="left"/>
                          <w:rPr>
                            <w:sz w:val="18"/>
                            <w:szCs w:val="21"/>
                          </w:rPr>
                        </w:pPr>
                        <w:r>
                          <w:rPr>
                            <w:rFonts w:hint="eastAsia"/>
                            <w:sz w:val="18"/>
                            <w:szCs w:val="21"/>
                          </w:rPr>
                          <w:t>2.</w:t>
                        </w:r>
                        <w:r>
                          <w:rPr>
                            <w:sz w:val="18"/>
                            <w:szCs w:val="21"/>
                          </w:rPr>
                          <w:t>用药</w:t>
                        </w:r>
                        <w:r>
                          <w:rPr>
                            <w:rFonts w:hint="eastAsia"/>
                            <w:sz w:val="18"/>
                            <w:szCs w:val="21"/>
                          </w:rPr>
                          <w:t>教育</w:t>
                        </w:r>
                      </w:p>
                      <w:p w14:paraId="329E41C9">
                        <w:pPr>
                          <w:spacing w:line="240" w:lineRule="auto"/>
                          <w:ind w:firstLine="0" w:firstLineChars="0"/>
                          <w:jc w:val="left"/>
                          <w:rPr>
                            <w:sz w:val="18"/>
                            <w:szCs w:val="21"/>
                          </w:rPr>
                        </w:pPr>
                        <w:r>
                          <w:rPr>
                            <w:rFonts w:hint="eastAsia"/>
                            <w:sz w:val="18"/>
                            <w:szCs w:val="21"/>
                          </w:rPr>
                          <w:t>3.</w:t>
                        </w:r>
                        <w:r>
                          <w:rPr>
                            <w:sz w:val="18"/>
                            <w:szCs w:val="21"/>
                          </w:rPr>
                          <w:t>不良反应主动监测与处置</w:t>
                        </w:r>
                      </w:p>
                      <w:p w14:paraId="7C4E8FF0">
                        <w:pPr>
                          <w:spacing w:line="240" w:lineRule="auto"/>
                          <w:ind w:firstLine="0" w:firstLineChars="0"/>
                          <w:jc w:val="left"/>
                          <w:rPr>
                            <w:sz w:val="18"/>
                            <w:szCs w:val="21"/>
                          </w:rPr>
                        </w:pPr>
                        <w:r>
                          <w:rPr>
                            <w:rFonts w:hint="eastAsia"/>
                            <w:sz w:val="18"/>
                            <w:szCs w:val="21"/>
                          </w:rPr>
                          <w:t>4.</w:t>
                        </w:r>
                        <w:r>
                          <w:rPr>
                            <w:sz w:val="18"/>
                            <w:szCs w:val="21"/>
                          </w:rPr>
                          <w:t>基因检测</w:t>
                        </w:r>
                      </w:p>
                      <w:p w14:paraId="6CF4D4CF">
                        <w:pPr>
                          <w:spacing w:line="240" w:lineRule="auto"/>
                          <w:ind w:firstLine="0" w:firstLineChars="0"/>
                          <w:jc w:val="left"/>
                          <w:rPr>
                            <w:sz w:val="18"/>
                            <w:szCs w:val="21"/>
                          </w:rPr>
                        </w:pPr>
                        <w:r>
                          <w:rPr>
                            <w:rFonts w:hint="eastAsia"/>
                            <w:sz w:val="18"/>
                            <w:szCs w:val="21"/>
                          </w:rPr>
                          <w:t>5.</w:t>
                        </w:r>
                        <w:r>
                          <w:rPr>
                            <w:sz w:val="18"/>
                            <w:szCs w:val="21"/>
                          </w:rPr>
                          <w:t>血药浓度监测</w:t>
                        </w:r>
                      </w:p>
                      <w:p w14:paraId="0794F553">
                        <w:pPr>
                          <w:spacing w:line="240" w:lineRule="auto"/>
                          <w:ind w:firstLine="0" w:firstLineChars="0"/>
                          <w:jc w:val="left"/>
                          <w:rPr>
                            <w:sz w:val="18"/>
                            <w:szCs w:val="21"/>
                          </w:rPr>
                        </w:pPr>
                        <w:r>
                          <w:rPr>
                            <w:rFonts w:hint="eastAsia"/>
                            <w:sz w:val="18"/>
                            <w:szCs w:val="21"/>
                          </w:rPr>
                          <w:t>6.</w:t>
                        </w:r>
                        <w:r>
                          <w:rPr>
                            <w:sz w:val="18"/>
                            <w:szCs w:val="21"/>
                          </w:rPr>
                          <w:t>药学会诊</w:t>
                        </w:r>
                      </w:p>
                      <w:p w14:paraId="789428D2">
                        <w:pPr>
                          <w:spacing w:line="240" w:lineRule="auto"/>
                          <w:ind w:firstLine="0" w:firstLineChars="0"/>
                          <w:jc w:val="left"/>
                          <w:rPr>
                            <w:sz w:val="18"/>
                            <w:szCs w:val="21"/>
                          </w:rPr>
                        </w:pPr>
                        <w:r>
                          <w:rPr>
                            <w:rFonts w:hint="eastAsia"/>
                            <w:sz w:val="18"/>
                            <w:szCs w:val="21"/>
                          </w:rPr>
                          <w:t>7.药学病例讨论</w:t>
                        </w:r>
                      </w:p>
                      <w:p w14:paraId="66EEFEEA">
                        <w:pPr>
                          <w:spacing w:line="240" w:lineRule="auto"/>
                          <w:ind w:firstLine="0" w:firstLineChars="0"/>
                          <w:jc w:val="left"/>
                          <w:rPr>
                            <w:sz w:val="18"/>
                            <w:szCs w:val="21"/>
                          </w:rPr>
                        </w:pPr>
                        <w:r>
                          <w:rPr>
                            <w:rFonts w:hint="eastAsia"/>
                            <w:sz w:val="18"/>
                            <w:szCs w:val="21"/>
                          </w:rPr>
                          <w:t>8.多学科联合诊疗</w:t>
                        </w:r>
                      </w:p>
                    </w:txbxContent>
                  </v:textbox>
                </v:shape>
                <v:shape id="直接箭头连接符 21" o:spid="_x0000_s1026" o:spt="32" type="#_x0000_t32" style="position:absolute;left:1915160;top:880745;flip:x;height:231140;width:3810;" filled="f" stroked="t" coordsize="21600,21600" o:gfxdata="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bpmXo2AAAAAkBAAAPAAAAAAAAAAEAIAAAACIAAABkcnMvZG93bnJldi54bWxQSwEC&#10;FAAUAAAACACHTuJATmYGxS0CAAAcBAAADgAAAAAAAAABACAAAAAnAQAAZHJzL2Uyb0RvYy54bWxQ&#10;SwUGAAAAAAYABgBZAQAAxgUAAAAA&#10;">
                  <v:fill on="f" focussize="0,0"/>
                  <v:stroke weight="0.5pt" color="#000000" miterlimit="8" joinstyle="miter" endarrow="block"/>
                  <v:imagedata o:title=""/>
                  <o:lock v:ext="edit" aspectratio="f"/>
                </v:shape>
                <v:shape id="肘形连接符 23" o:spid="_x0000_s1026" o:spt="34" type="#_x0000_t34" style="position:absolute;left:1098550;top:889439;height:1335405;width:292735;rotation:5898240f;" filled="f" stroked="t" coordsize="21600,21600" o:gfxdata="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HLh6Q1gAAAAkBAAAPAAAAAAAAAAEAIAAAACIA&#10;AABkcnMvZG93bnJldi54bWxQSwECFAAUAAAACACHTuJAHia8JkQCAABGBAAADgAAAAAAAAABACAA&#10;AAAlAQAAZHJzL2Uyb0RvYy54bWxQSwUGAAAAAAYABgBZAQAA2wUAAAAA&#10;" adj="10823">
                  <v:fill on="f" focussize="0,0"/>
                  <v:stroke weight="0.5pt" color="#000000" miterlimit="8" joinstyle="miter" endarrow="block"/>
                  <v:imagedata o:title=""/>
                  <o:lock v:ext="edit" aspectratio="f"/>
                </v:shape>
                <v:shape id="肘形连接符 26" o:spid="_x0000_s1026" o:spt="34" type="#_x0000_t34" style="position:absolute;left:2534603;top:788792;flip:y;height:1545590;width:301625;rotation:-5898240f;" filled="f" stroked="t" coordsize="21600,21600" o:gfxdata="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1TO91wAAAAkBAAAPAAAA&#10;AAAAAAEAIAAAACIAAABkcnMvZG93bnJldi54bWxQSwECFAAUAAAACACHTuJAT05xwk8CAABQBAAA&#10;DgAAAAAAAAABACAAAAAmAQAAZHJzL2Uyb0RvYy54bWxQSwUGAAAAAAYABgBZAQAA5wUAAAAA&#10;" adj="10823">
                  <v:fill on="f" focussize="0,0"/>
                  <v:stroke weight="0.5pt" color="#000000" miterlimit="8" joinstyle="miter" endarrow="block"/>
                  <v:imagedata o:title=""/>
                  <o:lock v:ext="edit" aspectratio="f"/>
                </v:shape>
                <v:shape id="直接箭头连接符 31" o:spid="_x0000_s1026" o:spt="32" type="#_x0000_t32" style="position:absolute;left:1897380;top:3762103;flip:x;height:607332;width:3175;" filled="f" stroked="t" coordsize="21600,21600" o:gfxdata="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umZejYAAAACQEAAA8AAAAAAAAAAQAgAAAAIgAAAGRycy9kb3ducmV2LnhtbFBL&#10;AQIUABQAAAAIAIdO4kCOPMPuLwIAAB0EAAAOAAAAAAAAAAEAIAAAACcBAABkcnMvZTJvRG9jLnht&#10;bFBLBQYAAAAABgAGAFkBAADIBQAAAAA=&#10;">
                  <v:fill on="f" focussize="0,0"/>
                  <v:stroke weight="0.5pt" color="#000000" miterlimit="8" joinstyle="miter" endarrow="block"/>
                  <v:imagedata o:title=""/>
                  <o:lock v:ext="edit" aspectratio="f"/>
                </v:shape>
                <v:line id="直接连接符 32" o:spid="_x0000_s1026" o:spt="20" style="position:absolute;left:2753451;top:3586117;height:4445;width:796290;" filled="f" stroked="t" coordsize="21600,21600" o:gfxdata="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rA/bNcAAAAJAQAADwAAAAAA&#10;AAABACAAAAAiAAAAZHJzL2Rvd25yZXYueG1sUEsBAhQAFAAAAAgAh07iQL/tMxMUAgAA+wMAAA4A&#10;AAAAAAAAAQAgAAAAJgEAAGRycy9lMm9Eb2MueG1sUEsFBgAAAAAGAAYAWQEAAKwFAAAAAA==&#10;">
                  <v:fill on="f" focussize="0,0"/>
                  <v:stroke weight="0.5pt" color="#000000" miterlimit="8" joinstyle="miter"/>
                  <v:imagedata o:title=""/>
                  <o:lock v:ext="edit" aspectratio="f"/>
                </v:line>
                <v:line id="直接连接符 33" o:spid="_x0000_s1026" o:spt="20" style="position:absolute;left:2757805;top:4528820;height:6985;width:841375;" filled="f" stroked="t" coordsize="21600,21600" o:gfxdata="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rA/bNcAAAAJAQAADwAAAAAA&#10;AAABACAAAAAiAAAAZHJzL2Rvd25yZXYueG1sUEsBAhQAFAAAAAgAh07iQBBUgSUUAgAA+wMAAA4A&#10;AAAAAAAAAQAgAAAAJgEAAGRycy9lMm9Eb2MueG1sUEsFBgAAAAAGAAYAWQEAAKwFAAAAAA==&#10;">
                  <v:fill on="f" focussize="0,0"/>
                  <v:stroke weight="0.5pt" color="#000000" miterlimit="8" joinstyle="miter"/>
                  <v:imagedata o:title=""/>
                  <o:lock v:ext="edit" aspectratio="f"/>
                </v:line>
                <v:shape id="直接箭头连接符 34" o:spid="_x0000_s1026" o:spt="32" type="#_x0000_t32" style="position:absolute;left:1905409;top:4653643;height:386352;width:861;" filled="f" stroked="t" coordsize="21600,21600" o:gfxdata="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3mFj6dYAAAAJAQAADwAAAAAAAAABACAAAAAiAAAAZHJzL2Rvd25yZXYueG1sUEsBAhQAFAAAAAgA&#10;h07iQIEmH0AnAgAAEgQAAA4AAAAAAAAAAQAgAAAAJQEAAGRycy9lMm9Eb2MueG1sUEsFBgAAAAAG&#10;AAYAWQEAAL4FAAAAAA==&#10;">
                  <v:fill on="f" focussize="0,0"/>
                  <v:stroke weight="0.5pt" color="#000000" miterlimit="8" joinstyle="miter" endarrow="block"/>
                  <v:imagedata o:title=""/>
                  <o:lock v:ext="edit" aspectratio="f"/>
                </v:shape>
                <v:shape id="直接箭头连接符 37" o:spid="_x0000_s1026" o:spt="32" type="#_x0000_t32" style="position:absolute;left:1888490;top:5365115;height:314325;width:0;" filled="f" stroked="t" coordsize="21600,21600" o:gfxdata="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e&#10;YWPp1gAAAAkBAAAPAAAAAAAAAAEAIAAAACIAAABkcnMvZG93bnJldi54bWxQSwECFAAUAAAACACH&#10;TuJAMWJ5qiYCAAAQBAAADgAAAAAAAAABACAAAAAlAQAAZHJzL2Uyb0RvYy54bWxQSwUGAAAAAAYA&#10;BgBZAQAAvQUAAAAA&#10;">
                  <v:fill on="f" focussize="0,0"/>
                  <v:stroke weight="0.5pt" color="#000000" miterlimit="8" joinstyle="miter" endarrow="block"/>
                  <v:imagedata o:title=""/>
                  <o:lock v:ext="edit" aspectratio="f"/>
                </v:shape>
                <v:shape id="直接箭头连接符 38" o:spid="_x0000_s1026" o:spt="32" type="#_x0000_t32" style="position:absolute;left:1888490;top:6626225;flip:x;height:317500;width:5080;" filled="f" stroked="t" coordsize="21600,21600" o:gfxdata="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umZejYAAAACQEAAA8AAAAAAAAAAQAgAAAAIgAAAGRycy9kb3ducmV2LnhtbFBL&#10;AQIUABQAAAAIAIdO4kBkaWcTLwIAAB0EAAAOAAAAAAAAAAEAIAAAACcBAABkcnMvZTJvRG9jLnht&#10;bFBLBQYAAAAABgAGAFkBAADIBQAAAAA=&#10;">
                  <v:fill on="f" focussize="0,0"/>
                  <v:stroke weight="0.5pt" color="#000000" miterlimit="8" joinstyle="miter" endarrow="block"/>
                  <v:imagedata o:title=""/>
                  <o:lock v:ext="edit" aspectratio="f"/>
                </v:shape>
                <v:shape id="直接箭头连接符 39" o:spid="_x0000_s1026" o:spt="32" type="#_x0000_t32" style="position:absolute;left:1888490;top:7229203;height:450367;width:0;" filled="f" stroked="t" coordsize="21600,21600" o:gfxdata="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5h&#10;Y+nWAAAACQEAAA8AAAAAAAAAAQAgAAAAIgAAAGRycy9kb3ducmV2LnhtbFBLAQIUABQAAAAIAIdO&#10;4kABpllRJQIAABAEAAAOAAAAAAAAAAEAIAAAACUBAABkcnMvZTJvRG9jLnhtbFBLBQYAAAAABgAG&#10;AFkBAAC8BQAAAAA=&#10;">
                  <v:fill on="f" focussize="0,0"/>
                  <v:stroke weight="0.5pt" color="#000000" miterlimit="8" joinstyle="miter" endarrow="block"/>
                  <v:imagedata o:title=""/>
                  <o:lock v:ext="edit" aspectratio="f"/>
                </v:shape>
                <v:shape id="文本框 41" o:spid="_x0000_s1026" o:spt="202" type="#_x0000_t202" style="position:absolute;left:2044065;top:6612059;height:308610;width:365125;" fillcolor="#FFFFFF" filled="t" stroked="f" coordsize="21600,21600" o:gfxdata="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rV8vv1QAAAAkBAAAPAAAAAAAAAAEAIAAAACIAAABkcnMvZG93bnJldi54bWxQ&#10;SwECFAAUAAAACACHTuJANZAm1mwCAAC6BAAADgAAAAAAAAABACAAAAAkAQAAZHJzL2Uyb0RvYy54&#10;bWxQSwUGAAAAAAYABgBZAQAAAgYAAAAA&#10;">
                  <v:fill on="t" focussize="0,0"/>
                  <v:stroke on="f" weight="0.5pt"/>
                  <v:imagedata o:title=""/>
                  <o:lock v:ext="edit" aspectratio="f"/>
                  <v:textbox>
                    <w:txbxContent>
                      <w:p w14:paraId="631A05D7">
                        <w:pPr>
                          <w:spacing w:line="240" w:lineRule="auto"/>
                          <w:ind w:firstLine="0" w:firstLineChars="0"/>
                        </w:pPr>
                        <w:r>
                          <w:rPr>
                            <w:rFonts w:hint="eastAsia"/>
                          </w:rPr>
                          <w:t>否</w:t>
                        </w:r>
                      </w:p>
                    </w:txbxContent>
                  </v:textbox>
                </v:shape>
                <v:shape id="文本框 42" o:spid="_x0000_s1026" o:spt="202" type="#_x0000_t202" style="position:absolute;left:640715;top:5775325;height:308610;width:314325;" fillcolor="#FFFFFF" filled="t" stroked="f" coordsize="21600,21600" o:gfxdata="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tXy+/VAAAACQEAAA8AAAAAAAAAAQAgAAAAIgAAAGRycy9kb3ducmV2LnhtbFBL&#10;AQIUABQAAAAIAIdO4kCrxGnKawIAALkEAAAOAAAAAAAAAAEAIAAAACQBAABkcnMvZTJvRG9jLnht&#10;bFBLBQYAAAAABgAGAFkBAAABBgAAAAA=&#10;">
                  <v:fill on="t" focussize="0,0"/>
                  <v:stroke on="f" weight="0.5pt"/>
                  <v:imagedata o:title=""/>
                  <o:lock v:ext="edit" aspectratio="f"/>
                  <v:textbox>
                    <w:txbxContent>
                      <w:p w14:paraId="6CD31CF6">
                        <w:pPr>
                          <w:spacing w:line="240" w:lineRule="auto"/>
                          <w:ind w:firstLine="0" w:firstLineChars="0"/>
                        </w:pPr>
                        <w:r>
                          <w:rPr>
                            <w:rFonts w:hint="eastAsia"/>
                          </w:rPr>
                          <w:t>是</w:t>
                        </w:r>
                      </w:p>
                    </w:txbxContent>
                  </v:textbox>
                </v:shape>
                <v:shape id="流程图: 可选过程 43" o:spid="_x0000_s1026" o:spt="176" type="#_x0000_t176" style="position:absolute;left:3848735;top:6847840;height:372549;width:1915251;v-text-anchor:middle;" filled="f" stroked="t" coordsize="21600,21600" o:gfxdata="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HD4XmzYAAAACQEAAA8AAAAAAAAAAQAgAAAA&#10;IgAAAGRycy9kb3ducmV2LnhtbFBLAQIUABQAAAAIAIdO4kBru9v3tgIAACoFAAAOAAAAAAAAAAEA&#10;IAAAACcBAABkcnMvZTJvRG9jLnhtbFBLBQYAAAAABgAGAFkBAABPBgAAAAA=&#10;">
                  <v:fill on="f" focussize="0,0"/>
                  <v:stroke weight="0.5pt" color="#000000" miterlimit="8" joinstyle="miter" dashstyle="dash"/>
                  <v:imagedata o:title=""/>
                  <o:lock v:ext="edit" aspectratio="f"/>
                  <v:textbox>
                    <w:txbxContent>
                      <w:p w14:paraId="11BD9758">
                        <w:pPr>
                          <w:ind w:firstLine="0" w:firstLineChars="0"/>
                          <w:jc w:val="left"/>
                          <w:rPr>
                            <w:sz w:val="18"/>
                            <w:szCs w:val="21"/>
                          </w:rPr>
                        </w:pPr>
                        <w:r>
                          <w:rPr>
                            <w:rFonts w:hint="eastAsia"/>
                            <w:sz w:val="18"/>
                            <w:szCs w:val="21"/>
                          </w:rPr>
                          <w:t>出院用药教育、药历药物治疗总结</w:t>
                        </w:r>
                      </w:p>
                    </w:txbxContent>
                  </v:textbox>
                </v:shape>
                <v:line id="直接连接符 44" o:spid="_x0000_s1026" o:spt="20" style="position:absolute;left:2736850;top:7047034;flip:y;height:1270;width:1111250;" filled="f" stroked="t" coordsize="21600,21600" o:gfxdata="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E2cTa1wAAAAkB&#10;AAAPAAAAAAAAAAEAIAAAACIAAABkcnMvZG93bnJldi54bWxQSwECFAAUAAAACACHTuJAn0fEaxwC&#10;AAAGBAAADgAAAAAAAAABACAAAAAmAQAAZHJzL2Uyb0RvYy54bWxQSwUGAAAAAAYABgBZAQAAtAUA&#10;AAAA&#10;">
                  <v:fill on="f" focussize="0,0"/>
                  <v:stroke weight="0.5pt" color="#000000" miterlimit="8" joinstyle="miter"/>
                  <v:imagedata o:title=""/>
                  <o:lock v:ext="edit" aspectratio="f"/>
                </v:line>
                <v:shape id="流程图: 过程 11" o:spid="_x0000_s1026" o:spt="109" type="#_x0000_t109" style="position:absolute;left:1163320;top:3464923;height:276860;width:1594485;v-text-anchor:middle;" fillcolor="#FFFFFF" filled="t" stroked="t" coordsize="21600,21600" o:gfxdata="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6e7kpNQAAAAJAQAADwAAAAAAAAABACAAAAAiAAAAZHJzL2Rv&#10;d25yZXYueG1sUEsBAhQAFAAAAAgAh07iQJaN5WywAgAAVQUAAA4AAAAAAAAAAQAgAAAAIwEAAGRy&#10;cy9lMm9Eb2MueG1sUEsFBgAAAAAGAAYAWQEAAEUGAAAAAA==&#10;">
                  <v:fill on="t" focussize="0,0"/>
                  <v:stroke weight="0.5pt" color="#000000" miterlimit="8" joinstyle="miter"/>
                  <v:imagedata o:title=""/>
                  <o:lock v:ext="edit" aspectratio="f"/>
                  <v:textbox>
                    <w:txbxContent>
                      <w:p w14:paraId="5CC153BD">
                        <w:pPr>
                          <w:spacing w:line="240" w:lineRule="auto"/>
                          <w:ind w:firstLine="0" w:firstLineChars="0"/>
                          <w:jc w:val="center"/>
                        </w:pPr>
                        <w:r>
                          <w:rPr>
                            <w:rFonts w:hint="eastAsia"/>
                          </w:rPr>
                          <w:t>制定药学监护计划</w:t>
                        </w:r>
                      </w:p>
                    </w:txbxContent>
                  </v:textbox>
                </v:shape>
                <v:line id="直接连接符 32" o:spid="_x0000_s1026" o:spt="20" style="position:absolute;left:2704465;top:730250;height:635;width:347345;" filled="f" stroked="t" coordsize="21600,21600" o:gfxdata="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KwP2zXAAAACQEAAA8AAAAAAAAA&#10;AQAgAAAAIgAAAGRycy9kb3ducmV2LnhtbFBLAQIUABQAAAAIAIdO4kDGNtAiEgIAAPkDAAAOAAAA&#10;AAAAAAEAIAAAACYBAABkcnMvZTJvRG9jLnhtbFBLBQYAAAAABgAGAFkBAACqBQAAAAA=&#10;">
                  <v:fill on="f" focussize="0,0"/>
                  <v:stroke weight="0.5pt" color="#000000" miterlimit="8" joinstyle="miter"/>
                  <v:imagedata o:title=""/>
                  <o:lock v:ext="edit" aspectratio="f"/>
                </v:line>
                <v:shape id="流程图: 过程 6" o:spid="_x0000_s1026" o:spt="109" type="#_x0000_t109" style="position:absolute;left:1115151;top:1132840;height:276860;width:1594800;v-text-anchor:middle;" filled="f" stroked="t" coordsize="21600,21600" o:gfxdata="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PEsNpzWAAAACQEAAA8AAAAAAAAAAQAgAAAAIgAAAGRycy9kb3ducmV2LnhtbFBL&#10;AQIUABQAAAAIAIdO4kBaCirPowIAABsFAAAOAAAAAAAAAAEAIAAAACUBAABkcnMvZTJvRG9jLnht&#10;bFBLBQYAAAAABgAGAFkBAAA6BgAAAAA=&#10;">
                  <v:fill on="f" focussize="0,0"/>
                  <v:stroke weight="0.5pt" color="#000000" miterlimit="8" joinstyle="miter"/>
                  <v:imagedata o:title=""/>
                  <o:lock v:ext="edit" aspectratio="f"/>
                  <v:textbox>
                    <w:txbxContent>
                      <w:p w14:paraId="104C6B92">
                        <w:pPr>
                          <w:spacing w:line="240" w:lineRule="auto"/>
                          <w:ind w:firstLine="0" w:firstLineChars="0"/>
                          <w:jc w:val="center"/>
                        </w:pPr>
                        <w:r>
                          <w:rPr>
                            <w:rFonts w:hint="eastAsia"/>
                          </w:rPr>
                          <w:t>患者信息收集</w:t>
                        </w:r>
                      </w:p>
                    </w:txbxContent>
                  </v:textbox>
                </v:shape>
                <v:shape id="流程图: 过程 11" o:spid="_x0000_s1026" o:spt="109" type="#_x0000_t109" style="position:absolute;left:1142365;top:2697480;height:276860;width:1594485;v-text-anchor:middle;" fillcolor="#FFFFFF" filled="t" stroked="t" coordsize="21600,21600" o:gfxdata="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Onu5KTUAAAACQEAAA8AAAAAAAAAAQAgAAAAIgAAAGRycy9k&#10;b3ducmV2LnhtbFBLAQIUABQAAAAIAIdO4kDrXxF4sQIAAFUFAAAOAAAAAAAAAAEAIAAAACMBAABk&#10;cnMvZTJvRG9jLnhtbFBLBQYAAAAABgAGAFkBAABGBgAAAAA=&#10;">
                  <v:fill on="t" focussize="0,0"/>
                  <v:stroke weight="0.5pt" color="#000000" miterlimit="8" joinstyle="miter"/>
                  <v:imagedata o:title=""/>
                  <o:lock v:ext="edit" aspectratio="f"/>
                  <v:textbox>
                    <w:txbxContent>
                      <w:p w14:paraId="28563635">
                        <w:pPr>
                          <w:spacing w:line="240" w:lineRule="auto"/>
                          <w:ind w:firstLine="0" w:firstLineChars="0"/>
                          <w:jc w:val="center"/>
                        </w:pPr>
                        <w:r>
                          <w:rPr>
                            <w:rFonts w:hint="eastAsia"/>
                          </w:rPr>
                          <w:t>确定药物治疗方案</w:t>
                        </w:r>
                      </w:p>
                    </w:txbxContent>
                  </v:textbox>
                </v:shape>
                <v:shape id="肘形连接符 8" o:spid="_x0000_s1026" o:spt="34" type="#_x0000_t34" style="position:absolute;left:833120;top:3596640;flip:x;height:2549525;width:330200;rotation:11796480f;" filled="f" stroked="t" coordsize="21600,21600" o:gfxdata="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Mt2011gAAAAkBAAAPAAAAAAAAAAEAIAAAACIAAABk&#10;cnMvZG93bnJldi54bWxQSwECFAAUAAAACACHTuJAauNs20ECAABCBAAADgAAAAAAAAABACAAAAAl&#10;AQAAZHJzL2Uyb0RvYy54bWxQSwUGAAAAAAYABgBZAQAA2AUAAAAA&#10;" adj="-14954">
                  <v:fill on="f" focussize="0,0"/>
                  <v:stroke weight="0.5pt" color="#000000 [3213]" joinstyle="round" endarrow="block"/>
                  <v:imagedata o:title=""/>
                  <o:lock v:ext="edit" aspectratio="f"/>
                </v:shape>
                <v:shape id="肘形连接符 9" o:spid="_x0000_s1026" o:spt="34" type="#_x0000_t34" style="position:absolute;left:2022476;top:628785;flip:y;height:2880000;width:7620;rotation:-5898240f;" filled="f" stroked="t" coordsize="21600,21600" o:gfxdata="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cYIw51QAAAAkBAAAP&#10;AAAAAAAAAAEAIAAAACIAAABkcnMvZG93bnJldi54bWxQSwECFAAUAAAACACHTuJAieSzSxsCAAD6&#10;AwAADgAAAAAAAAABACAAAAAkAQAAZHJzL2Uyb0RvYy54bWxQSwUGAAAAAAYABgBZAQAAsQUAAAAA&#10;" adj="695700">
                  <v:fill on="f" focussize="0,0"/>
                  <v:stroke weight="0.5pt" color="#000000 [3213]" joinstyle="round"/>
                  <v:imagedata o:title=""/>
                  <o:lock v:ext="edit" aspectratio="f"/>
                </v:shape>
                <v:shape id="_x0000_s1026" o:spid="_x0000_s1026" o:spt="32" type="#_x0000_t32" style="position:absolute;left:1921805;top:361315;flip:x;height:231140;width:3810;" filled="f" stroked="t" coordsize="21600,21600" o:gfxdata="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6Zl6NgAAAAJAQAADwAAAAAAAAABACAAAAAiAAAAZHJzL2Rvd25y&#10;ZXYueG1sUEsBAhQAFAAAAAgAh07iQFhnTbk3AgAAKgQAAA4AAAAAAAAAAQAgAAAAJwEAAGRycy9l&#10;Mm9Eb2MueG1sUEsFBgAAAAAGAAYAWQEAANAFAAAAAA==&#10;">
                  <v:fill on="f" focussize="0,0"/>
                  <v:stroke weight="0.5pt" color="#000000" miterlimit="8" joinstyle="miter" endarrow="block"/>
                  <v:imagedata o:title=""/>
                  <o:lock v:ext="edit" aspectratio="f"/>
                </v:shape>
                <v:shape id="_x0000_s1026" o:spid="_x0000_s1026" o:spt="32" type="#_x0000_t32" style="position:absolute;left:1911350;top:1568595;flip:x;height:144000;width:3810;" filled="f" stroked="t" coordsize="21600,21600" o:gfxdata="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umZejYAAAACQEAAA8AAAAAAAAAAQAgAAAAIgAAAGRycy9kb3ducmV2&#10;LnhtbFBLAQIUABQAAAAIAIdO4kBtaU9fNQIAAC0EAAAOAAAAAAAAAAEAIAAAACcBAABkcnMvZTJv&#10;RG9jLnhtbFBLBQYAAAAABgAGAFkBAADOBQAAAAA=&#10;">
                  <v:fill on="f" focussize="0,0"/>
                  <v:stroke weight="0.5pt" color="#000000" miterlimit="8" joinstyle="miter" endarrow="block"/>
                  <v:imagedata o:title=""/>
                  <o:lock v:ext="edit" aspectratio="f"/>
                </v:shape>
                <v:shape id="_x0000_s1026" o:spid="_x0000_s1026" o:spt="32" type="#_x0000_t32" style="position:absolute;left:1910171;top:2072595;flip:x;height:624885;width:5624;" filled="f" stroked="t" coordsize="21600,21600" o:gfxdata="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bpmXo2AAAAAkBAAAPAAAAAAAAAAEAIAAAACIAAABkcnMvZG93bnJl&#10;di54bWxQSwECFAAUAAAACACHTuJAXUU7BzYCAAAtBAAADgAAAAAAAAABACAAAAAnAQAAZHJzL2Uy&#10;b0RvYy54bWxQSwUGAAAAAAYABgBZAQAAzwUAAAAA&#10;">
                  <v:fill on="f" focussize="0,0"/>
                  <v:stroke weight="0.5pt" color="#000000" miterlimit="8" joinstyle="miter" endarrow="block"/>
                  <v:imagedata o:title=""/>
                  <o:lock v:ext="edit" aspectratio="f"/>
                </v:shape>
                <v:shape id="_x0000_s1026" o:spid="_x0000_s1026" o:spt="32" type="#_x0000_t32" style="position:absolute;left:1905409;top:2974340;flip:x;height:490583;width:4762;" filled="f" stroked="t" coordsize="21600,21600" o:gfxdata="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bpmXo2AAAAAkBAAAPAAAAAAAAAAEAIAAAACIAAABkcnMvZG93bnJl&#10;di54bWxQSwECFAAUAAAACACHTuJAzzeABTYCAAArBAAADgAAAAAAAAABACAAAAAnAQAAZHJzL2Uy&#10;b0RvYy54bWxQSwUGAAAAAAYABgBZAQAAzwUAAAAA&#10;">
                  <v:fill on="f" focussize="0,0"/>
                  <v:stroke weight="0.5pt" color="#000000" miterlimit="8" joinstyle="miter" endarrow="block"/>
                  <v:imagedata o:title=""/>
                  <o:lock v:ext="edit" aspectratio="f"/>
                </v:shape>
                <v:shape id="_x0000_s1026" o:spid="_x0000_s1026" o:spt="32" type="#_x0000_t32" style="position:absolute;left:1028940;top:1905000;height:0;width:396000;" filled="f" stroked="t" coordsize="21600,21600" o:gfxdata="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3mFj6dYAAAAJAQAADwAAAAAAAAABACAAAAAiAAAAZHJzL2Rvd25yZXYueG1sUEsBAhQAFAAA&#10;AAgAh07iQDFrh4sqAgAAHgQAAA4AAAAAAAAAAQAgAAAAJQEAAGRycy9lMm9Eb2MueG1sUEsFBgAA&#10;AAAGAAYAWQEAAMEFAAAAAA==&#10;">
                  <v:fill on="f" focussize="0,0"/>
                  <v:stroke weight="0.5pt" color="#000000" miterlimit="8" joinstyle="miter" endarrow="block"/>
                  <v:imagedata o:title=""/>
                  <o:lock v:ext="edit" aspectratio="f"/>
                </v:shape>
                <v:shape id="_x0000_s1026" o:spid="_x0000_s1026" o:spt="32" type="#_x0000_t32" style="position:absolute;left:2410256;top:1905000;flip:x;height:0;width:425019;" filled="f" stroked="t" coordsize="21600,21600" o:gfxdata="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umZejYAAAACQEAAA8AAAAAAAAAAQAgAAAAIgAAAGRycy9kb3ducmV2&#10;LnhtbFBLAQIUABQAAAAIAIdO4kA0Lj8DNQIAACgEAAAOAAAAAAAAAAEAIAAAACcBAABkcnMvZTJv&#10;RG9jLnhtbFBLBQYAAAAABgAGAFkBAADOBQAAAAA=&#10;">
                  <v:fill on="f" focussize="0,0"/>
                  <v:stroke weight="0.5pt" color="#000000" miterlimit="8" joinstyle="miter" endarrow="block"/>
                  <v:imagedata o:title=""/>
                  <o:lock v:ext="edit" aspectratio="f"/>
                </v:shape>
                <w10:wrap type="topAndBottom"/>
              </v:group>
            </w:pict>
          </mc:Fallback>
        </mc:AlternateContent>
      </w:r>
    </w:p>
    <w:p w14:paraId="53AEC6F5">
      <w:pPr>
        <w:ind w:firstLine="420"/>
        <w:jc w:val="center"/>
        <w:rPr>
          <w:rFonts w:cs="Times New Roman" w:asciiTheme="majorEastAsia" w:hAnsiTheme="majorEastAsia" w:eastAsiaTheme="majorEastAsia"/>
          <w:bCs/>
          <w:color w:val="000000" w:themeColor="text1"/>
          <w:szCs w:val="21"/>
          <w14:textFill>
            <w14:solidFill>
              <w14:schemeClr w14:val="tx1"/>
            </w14:solidFill>
          </w14:textFill>
        </w:rPr>
      </w:pPr>
      <w:r>
        <w:rPr>
          <w:rFonts w:hint="eastAsia" w:cs="Times New Roman" w:asciiTheme="majorEastAsia" w:hAnsiTheme="majorEastAsia" w:eastAsiaTheme="majorEastAsia"/>
          <w:bCs/>
          <w:color w:val="000000" w:themeColor="text1"/>
          <w:szCs w:val="21"/>
          <w14:textFill>
            <w14:solidFill>
              <w14:schemeClr w14:val="tx1"/>
            </w14:solidFill>
          </w14:textFill>
        </w:rPr>
        <w:t>图1 冠心病住院患者药学监护服务流程图</w:t>
      </w:r>
    </w:p>
    <w:p w14:paraId="73138C8D">
      <w:pPr>
        <w:pStyle w:val="20"/>
      </w:pPr>
      <w:bookmarkStart w:id="78" w:name="_Toc93480017"/>
      <w:bookmarkStart w:id="79" w:name="_Toc195469955"/>
      <w:bookmarkStart w:id="80" w:name="_Toc6815"/>
      <w:bookmarkStart w:id="81" w:name="_Toc14618"/>
      <w:bookmarkStart w:id="82" w:name="_Toc24152"/>
      <w:r>
        <w:rPr>
          <w:rFonts w:hint="eastAsia"/>
        </w:rPr>
        <w:t>5</w:t>
      </w:r>
      <w:r>
        <w:t>.</w:t>
      </w:r>
      <w:bookmarkEnd w:id="78"/>
      <w:r>
        <w:rPr>
          <w:rFonts w:hint="eastAsia"/>
        </w:rPr>
        <w:t xml:space="preserve"> 冠心病住院患者药学监护服务过程</w:t>
      </w:r>
      <w:bookmarkEnd w:id="79"/>
      <w:bookmarkEnd w:id="80"/>
      <w:bookmarkEnd w:id="81"/>
      <w:bookmarkEnd w:id="82"/>
    </w:p>
    <w:p w14:paraId="5003FE79">
      <w:pPr>
        <w:pStyle w:val="4"/>
        <w:spacing w:before="156" w:after="156"/>
      </w:pPr>
      <w:bookmarkStart w:id="83" w:name="_Toc93480018"/>
      <w:bookmarkStart w:id="84" w:name="_Toc22785"/>
      <w:bookmarkStart w:id="85" w:name="_Toc195469956"/>
      <w:bookmarkStart w:id="86" w:name="_Toc2386"/>
      <w:bookmarkStart w:id="87" w:name="_Toc19220"/>
      <w:r>
        <w:rPr>
          <w:rFonts w:hint="eastAsia"/>
        </w:rPr>
        <w:t>5</w:t>
      </w:r>
      <w:r>
        <w:t>.1</w:t>
      </w:r>
      <w:bookmarkEnd w:id="83"/>
      <w:r>
        <w:rPr>
          <w:rFonts w:hint="eastAsia"/>
        </w:rPr>
        <w:t xml:space="preserve"> 用药相关信息收集</w:t>
      </w:r>
      <w:bookmarkEnd w:id="84"/>
      <w:bookmarkEnd w:id="85"/>
      <w:bookmarkEnd w:id="86"/>
      <w:bookmarkEnd w:id="87"/>
    </w:p>
    <w:p w14:paraId="44464E89">
      <w:pPr>
        <w:ind w:firstLine="420"/>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t>全面了解</w:t>
      </w:r>
      <w:r>
        <w:rPr>
          <w:rFonts w:hint="eastAsia"/>
          <w:color w:val="000000" w:themeColor="text1"/>
          <w14:textFill>
            <w14:solidFill>
              <w14:schemeClr w14:val="tx1"/>
            </w14:solidFill>
          </w14:textFill>
        </w:rPr>
        <w:t>患者的基本情况、主诉、</w:t>
      </w:r>
      <w:r>
        <w:rPr>
          <w:color w:val="000000" w:themeColor="text1"/>
          <w14:textFill>
            <w14:solidFill>
              <w14:schemeClr w14:val="tx1"/>
            </w14:solidFill>
          </w14:textFill>
        </w:rPr>
        <w:t>诊断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现病史</w:t>
      </w:r>
      <w:r>
        <w:rPr>
          <w:rFonts w:hint="eastAsia"/>
          <w:color w:val="000000" w:themeColor="text1"/>
          <w14:textFill>
            <w14:solidFill>
              <w14:schemeClr w14:val="tx1"/>
            </w14:solidFill>
          </w14:textFill>
        </w:rPr>
        <w:t>、既往史、个人史</w:t>
      </w:r>
      <w:r>
        <w:rPr>
          <w:color w:val="000000" w:themeColor="text1"/>
          <w14:textFill>
            <w14:solidFill>
              <w14:schemeClr w14:val="tx1"/>
            </w14:solidFill>
          </w14:textFill>
        </w:rPr>
        <w:t>、家族史</w:t>
      </w:r>
      <w:r>
        <w:rPr>
          <w:rFonts w:hint="eastAsia"/>
          <w:color w:val="000000" w:themeColor="text1"/>
          <w14:textFill>
            <w14:solidFill>
              <w14:schemeClr w14:val="tx1"/>
            </w14:solidFill>
          </w14:textFill>
        </w:rPr>
        <w:t>、过敏史、既往药物不良反应及处置史</w:t>
      </w:r>
      <w:r>
        <w:rPr>
          <w:color w:val="000000" w:themeColor="text1"/>
          <w14:textFill>
            <w14:solidFill>
              <w14:schemeClr w14:val="tx1"/>
            </w14:solidFill>
          </w14:textFill>
        </w:rPr>
        <w:t>等，</w:t>
      </w:r>
      <w:r>
        <w:rPr>
          <w:rFonts w:hint="eastAsia"/>
          <w:color w:val="000000" w:themeColor="text1"/>
          <w14:textFill>
            <w14:solidFill>
              <w14:schemeClr w14:val="tx1"/>
            </w14:solidFill>
          </w14:textFill>
        </w:rPr>
        <w:t>并进行信息收集开始书写药历，详见附录</w:t>
      </w:r>
      <w:r>
        <w:rPr>
          <w:rFonts w:ascii="Times New Roman" w:hAnsi="Times New Roman" w:cs="Times New Roman"/>
          <w:color w:val="000000" w:themeColor="text1"/>
          <w:szCs w:val="21"/>
          <w14:textFill>
            <w14:solidFill>
              <w14:schemeClr w14:val="tx1"/>
            </w14:solidFill>
          </w14:textFill>
        </w:rPr>
        <w:t>A</w:t>
      </w:r>
      <w:r>
        <w:rPr>
          <w:color w:val="000000" w:themeColor="text1"/>
          <w14:textFill>
            <w14:solidFill>
              <w14:schemeClr w14:val="tx1"/>
            </w14:solidFill>
          </w14:textFill>
        </w:rPr>
        <w:t>。</w:t>
      </w:r>
    </w:p>
    <w:p w14:paraId="583FAACB">
      <w:pPr>
        <w:pStyle w:val="4"/>
        <w:spacing w:before="156" w:after="156"/>
      </w:pPr>
      <w:bookmarkStart w:id="88" w:name="_Toc93480019"/>
      <w:bookmarkStart w:id="89" w:name="_Toc195469957"/>
      <w:bookmarkStart w:id="90" w:name="_Toc26819"/>
      <w:bookmarkStart w:id="91" w:name="_Toc30776"/>
      <w:bookmarkStart w:id="92" w:name="_Toc25454"/>
      <w:r>
        <w:rPr>
          <w:rFonts w:hint="eastAsia"/>
        </w:rPr>
        <w:t>5</w:t>
      </w:r>
      <w:r>
        <w:t>.2</w:t>
      </w:r>
      <w:bookmarkEnd w:id="88"/>
      <w:r>
        <w:rPr>
          <w:rFonts w:hint="eastAsia"/>
        </w:rPr>
        <w:t xml:space="preserve"> 初始用药评估</w:t>
      </w:r>
      <w:bookmarkEnd w:id="89"/>
      <w:bookmarkEnd w:id="90"/>
      <w:bookmarkEnd w:id="91"/>
      <w:bookmarkEnd w:id="92"/>
    </w:p>
    <w:p w14:paraId="1D882376">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临床药师通过查看病历、药学查房及药学问诊后，分别从患者的用药适宜性、依从性、药物不良反应和相互作用等方面进行初始评估：①根据当前疾病与用药之间的关系，检查是否存在用药适应症及禁忌证的问题，参考指南推荐、循证依据等评估药物选择的适宜性；②评估患者的用药依从性；③检查用法用量，评估给药剂量、给药频率、给药时间、给药方式、特殊剂型/装置等适宜性；④检查是否存在重复用药问题；⑤评估患者是否有药物不良反应或潜在药物不良反应风险，同时密切关注药品监管机构发布的药品安全警示信息。</w:t>
      </w:r>
    </w:p>
    <w:p w14:paraId="0AC5270F">
      <w:pPr>
        <w:pStyle w:val="4"/>
        <w:spacing w:before="156" w:after="156"/>
      </w:pPr>
      <w:bookmarkStart w:id="93" w:name="_Toc17275"/>
      <w:bookmarkStart w:id="94" w:name="_Toc195469958"/>
      <w:bookmarkStart w:id="95" w:name="_Toc18565"/>
      <w:bookmarkStart w:id="96" w:name="_Toc28067"/>
      <w:r>
        <w:t xml:space="preserve">5.3 </w:t>
      </w:r>
      <w:r>
        <w:rPr>
          <w:rFonts w:hint="eastAsia"/>
        </w:rPr>
        <w:t>制定药学监护计划</w:t>
      </w:r>
      <w:bookmarkEnd w:id="93"/>
      <w:bookmarkEnd w:id="94"/>
      <w:bookmarkEnd w:id="95"/>
      <w:bookmarkEnd w:id="96"/>
    </w:p>
    <w:p w14:paraId="48781EF9">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根据初始用药评估结果，</w:t>
      </w:r>
      <w:r>
        <w:rPr>
          <w:color w:val="000000" w:themeColor="text1"/>
          <w14:textFill>
            <w14:solidFill>
              <w14:schemeClr w14:val="tx1"/>
            </w14:solidFill>
          </w14:textFill>
        </w:rPr>
        <w:t>按照附录</w:t>
      </w:r>
      <w:r>
        <w:rPr>
          <w:rFonts w:hint="eastAsia"/>
          <w:color w:val="000000" w:themeColor="text1"/>
          <w14:textFill>
            <w14:solidFill>
              <w14:schemeClr w14:val="tx1"/>
            </w14:solidFill>
          </w14:textFill>
        </w:rPr>
        <w:t>B</w:t>
      </w:r>
      <w:r>
        <w:rPr>
          <w:color w:val="000000" w:themeColor="text1"/>
          <w14:textFill>
            <w14:solidFill>
              <w14:schemeClr w14:val="tx1"/>
            </w14:solidFill>
          </w14:textFill>
        </w:rPr>
        <w:t>药学监护分级标准，制定</w:t>
      </w:r>
      <w:r>
        <w:rPr>
          <w:rFonts w:hint="eastAsia"/>
          <w:color w:val="000000" w:themeColor="text1"/>
          <w14:textFill>
            <w14:solidFill>
              <w14:schemeClr w14:val="tx1"/>
            </w14:solidFill>
          </w14:textFill>
        </w:rPr>
        <w:t>冠心病住院患者</w:t>
      </w:r>
      <w:r>
        <w:rPr>
          <w:color w:val="000000" w:themeColor="text1"/>
          <w14:textFill>
            <w14:solidFill>
              <w14:schemeClr w14:val="tx1"/>
            </w14:solidFill>
          </w14:textFill>
        </w:rPr>
        <w:t>药学监护</w:t>
      </w:r>
      <w:r>
        <w:rPr>
          <w:rFonts w:hint="eastAsia"/>
          <w:color w:val="000000" w:themeColor="text1"/>
          <w14:textFill>
            <w14:solidFill>
              <w14:schemeClr w14:val="tx1"/>
            </w14:solidFill>
          </w14:textFill>
        </w:rPr>
        <w:t>计划</w:t>
      </w:r>
      <w:r>
        <w:rPr>
          <w:color w:val="000000" w:themeColor="text1"/>
          <w14:textFill>
            <w14:solidFill>
              <w14:schemeClr w14:val="tx1"/>
            </w14:solidFill>
          </w14:textFill>
        </w:rPr>
        <w:t>，对患者分别实施不同等级药学监护。</w:t>
      </w:r>
    </w:p>
    <w:p w14:paraId="43491CF6">
      <w:pPr>
        <w:pStyle w:val="4"/>
        <w:spacing w:before="156" w:after="156"/>
      </w:pPr>
      <w:bookmarkStart w:id="97" w:name="_Toc195469959"/>
      <w:bookmarkStart w:id="98" w:name="_Toc13805"/>
      <w:bookmarkStart w:id="99" w:name="_Toc9192"/>
      <w:bookmarkStart w:id="100" w:name="_Toc4463"/>
      <w:r>
        <w:rPr>
          <w:rFonts w:hint="eastAsia"/>
        </w:rPr>
        <w:t>5.4 药学监护计划要点</w:t>
      </w:r>
      <w:bookmarkEnd w:id="97"/>
      <w:bookmarkEnd w:id="98"/>
      <w:bookmarkEnd w:id="99"/>
      <w:bookmarkEnd w:id="100"/>
    </w:p>
    <w:p w14:paraId="66E8CF6C">
      <w:pPr>
        <w:pStyle w:val="37"/>
        <w:spacing w:before="156" w:after="156"/>
      </w:pPr>
      <w:bookmarkStart w:id="101" w:name="_Toc5846"/>
      <w:bookmarkStart w:id="102" w:name="_Toc22108"/>
      <w:bookmarkStart w:id="103" w:name="_Toc13589"/>
      <w:bookmarkStart w:id="104" w:name="_Toc195033201"/>
      <w:bookmarkStart w:id="105" w:name="_Toc195469960"/>
      <w:r>
        <w:rPr>
          <w:rFonts w:hint="eastAsia"/>
        </w:rPr>
        <w:t>5.4.1</w:t>
      </w:r>
      <w:r>
        <w:t xml:space="preserve"> </w:t>
      </w:r>
      <w:r>
        <w:rPr>
          <w:rFonts w:hint="eastAsia"/>
        </w:rPr>
        <w:t>用药安全性</w:t>
      </w:r>
      <w:bookmarkEnd w:id="101"/>
      <w:bookmarkEnd w:id="102"/>
      <w:bookmarkEnd w:id="103"/>
      <w:r>
        <w:rPr>
          <w:rFonts w:hint="eastAsia"/>
        </w:rPr>
        <w:t>监护</w:t>
      </w:r>
    </w:p>
    <w:p w14:paraId="0C6A5C12">
      <w:pPr>
        <w:pStyle w:val="5"/>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5.4.1.1 他汀类药物</w:t>
      </w:r>
    </w:p>
    <w:p w14:paraId="675ADF5A">
      <w:pPr>
        <w:ind w:firstLine="420"/>
        <w:rPr>
          <w:rFonts w:ascii="Times New Roman" w:hAnsi="Times New Roman" w:cs="Times New Roman"/>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他汀类药物需规律服用，</w:t>
      </w:r>
      <w:r>
        <w:rPr>
          <w:rFonts w:hint="eastAsia"/>
          <w:color w:val="000000" w:themeColor="text1"/>
          <w14:textFill>
            <w14:solidFill>
              <w14:schemeClr w14:val="tx1"/>
            </w14:solidFill>
          </w14:textFill>
        </w:rPr>
        <w:t>常见不良反应包括①肝酶异常；②肌病风险</w:t>
      </w:r>
      <w:r>
        <w:rPr>
          <w:rFonts w:hint="eastAsia" w:ascii="Times New Roman" w:hAnsi="Times New Roman" w:cs="Times New Roman"/>
          <w:color w:val="000000" w:themeColor="text1"/>
          <w:lang w:bidi="ar"/>
          <w14:textFill>
            <w14:solidFill>
              <w14:schemeClr w14:val="tx1"/>
            </w14:solidFill>
          </w14:textFill>
        </w:rPr>
        <w:t>；③新发糖尿病风险。开始服药后，</w:t>
      </w:r>
      <w:r>
        <w:rPr>
          <w:rFonts w:hint="eastAsia"/>
          <w:color w:val="000000" w:themeColor="text1"/>
          <w:lang w:bidi="ar"/>
          <w14:textFill>
            <w14:solidFill>
              <w14:schemeClr w14:val="tx1"/>
            </w14:solidFill>
          </w14:textFill>
        </w:rPr>
        <w:t>可能会有肌肉酸痛、乏力等现象，</w:t>
      </w:r>
      <w:r>
        <w:rPr>
          <w:rFonts w:hint="eastAsia"/>
          <w:color w:val="000000" w:themeColor="text1"/>
          <w14:textFill>
            <w14:solidFill>
              <w14:schemeClr w14:val="tx1"/>
            </w14:solidFill>
          </w14:textFill>
        </w:rPr>
        <w:t>若肝酶水平升高超过3倍正常值上限（ULN），应暂停服用。</w:t>
      </w:r>
      <w:r>
        <w:rPr>
          <w:rFonts w:hint="eastAsia"/>
          <w:color w:val="000000" w:themeColor="text1"/>
          <w:lang w:bidi="ar"/>
          <w14:textFill>
            <w14:solidFill>
              <w14:schemeClr w14:val="tx1"/>
            </w14:solidFill>
          </w14:textFill>
        </w:rPr>
        <w:t>首次服用他汀类药物患者，应在用药4～6周内复查血脂、肝酶和肌酸激酶。</w:t>
      </w:r>
    </w:p>
    <w:p w14:paraId="24375E1B">
      <w:pPr>
        <w:pStyle w:val="5"/>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5.4.1.2 硝酸酯类药物</w:t>
      </w:r>
    </w:p>
    <w:p w14:paraId="7B22068D">
      <w:pPr>
        <w:ind w:firstLine="42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硝酸酯类药物常见不良反应包括①头痛；②心率加快；③低血压。开始服药后密切关注患者是否出现头痛症状，且应监测患者心率和血压水平。</w:t>
      </w:r>
      <w:r>
        <w:rPr>
          <w:rFonts w:hint="eastAsia" w:ascii="Times New Roman" w:hAnsi="Times New Roman" w:cs="Times New Roman"/>
          <w:color w:val="000000" w:themeColor="text1"/>
          <w:lang w:bidi="ar"/>
          <w14:textFill>
            <w14:solidFill>
              <w14:schemeClr w14:val="tx1"/>
            </w14:solidFill>
          </w14:textFill>
        </w:rPr>
        <w:t>同时，在</w:t>
      </w:r>
      <w:r>
        <w:rPr>
          <w:rFonts w:ascii="Times New Roman" w:hAnsi="Times New Roman" w:cs="Times New Roman"/>
          <w:color w:val="000000" w:themeColor="text1"/>
          <w:lang w:bidi="ar"/>
          <w14:textFill>
            <w14:solidFill>
              <w14:schemeClr w14:val="tx1"/>
            </w14:solidFill>
          </w14:textFill>
        </w:rPr>
        <w:t>用药期间起身动作要慢，防止体位性低血压，长期用药需关注耐药性，定期评估疗效。</w:t>
      </w:r>
    </w:p>
    <w:p w14:paraId="636239C5">
      <w:pPr>
        <w:pStyle w:val="5"/>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 xml:space="preserve">5.4.1.3 </w:t>
      </w:r>
      <w:r>
        <w:rPr>
          <w:i/>
          <w:iCs/>
          <w:color w:val="000000" w:themeColor="text1"/>
          <w14:textFill>
            <w14:solidFill>
              <w14:schemeClr w14:val="tx1"/>
            </w14:solidFill>
          </w14:textFill>
        </w:rPr>
        <w:t>β</w:t>
      </w:r>
      <w:r>
        <w:rPr>
          <w:rFonts w:hint="eastAsia"/>
          <w:color w:val="000000" w:themeColor="text1"/>
          <w:lang w:bidi="ar"/>
          <w14:textFill>
            <w14:solidFill>
              <w14:schemeClr w14:val="tx1"/>
            </w14:solidFill>
          </w14:textFill>
        </w:rPr>
        <w:t>受体阻滞剂</w:t>
      </w:r>
    </w:p>
    <w:p w14:paraId="4A4F1FCB">
      <w:pPr>
        <w:ind w:firstLine="420"/>
        <w:rPr>
          <w:color w:val="000000" w:themeColor="text1"/>
          <w:lang w:bidi="ar"/>
          <w14:textFill>
            <w14:solidFill>
              <w14:schemeClr w14:val="tx1"/>
            </w14:solidFill>
          </w14:textFill>
        </w:rPr>
      </w:pPr>
      <w:r>
        <w:rPr>
          <w:i/>
          <w:iCs/>
          <w:color w:val="000000" w:themeColor="text1"/>
          <w14:textFill>
            <w14:solidFill>
              <w14:schemeClr w14:val="tx1"/>
            </w14:solidFill>
          </w14:textFill>
        </w:rPr>
        <w:t>β</w:t>
      </w:r>
      <w:r>
        <w:rPr>
          <w:rFonts w:hint="eastAsia"/>
          <w:color w:val="000000" w:themeColor="text1"/>
          <w:lang w:bidi="ar"/>
          <w14:textFill>
            <w14:solidFill>
              <w14:schemeClr w14:val="tx1"/>
            </w14:solidFill>
          </w14:textFill>
        </w:rPr>
        <w:t>受体阻滞剂常见不良反应包括①低血压；②心动过缓。用药宜从最小剂量开始，禁用于心率＜45次/分、收缩压＜100 mmHg的患者。用药期间监测静息心率，药物的目标剂量为静息心率降至55～60次/min（合并有心房颤动/心力衰竭的患者除外，严重心绞痛患者如无心动过缓症状，可降至50次/min）。密切关注患者的血压水平。</w:t>
      </w:r>
    </w:p>
    <w:p w14:paraId="588397CB">
      <w:pPr>
        <w:pStyle w:val="5"/>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 xml:space="preserve">5.4.1.4 </w:t>
      </w:r>
      <w:r>
        <w:rPr>
          <w:color w:val="000000" w:themeColor="text1"/>
          <w:lang w:bidi="ar"/>
          <w14:textFill>
            <w14:solidFill>
              <w14:schemeClr w14:val="tx1"/>
            </w14:solidFill>
          </w14:textFill>
        </w:rPr>
        <w:t>CCB</w:t>
      </w:r>
      <w:r>
        <w:rPr>
          <w:rFonts w:hint="eastAsia"/>
          <w:color w:val="000000" w:themeColor="text1"/>
          <w:lang w:bidi="ar"/>
          <w14:textFill>
            <w14:solidFill>
              <w14:schemeClr w14:val="tx1"/>
            </w14:solidFill>
          </w14:textFill>
        </w:rPr>
        <w:t>类药物</w:t>
      </w:r>
    </w:p>
    <w:p w14:paraId="4B6339E9">
      <w:pPr>
        <w:ind w:firstLine="42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二氢吡啶类药物常见不良反应包括①外周水肿；②面部潮红、头痛；③反射性心动过速；④低血压；⑤牙龈增生。非二氢吡啶类药物常见不良反应包括①心动过缓；②窦房结、房室结传导阻滞；③心力衰竭症状加重。服药后关注患者是否出现水肿症状，并定期监测血压、心率等，以评估潜在风险并采取相应措施。</w:t>
      </w:r>
    </w:p>
    <w:p w14:paraId="38B18074">
      <w:pPr>
        <w:pStyle w:val="5"/>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5.4.1.5 ACEI类药物/ARB类药物</w:t>
      </w:r>
    </w:p>
    <w:p w14:paraId="0C99AFB2">
      <w:pPr>
        <w:ind w:firstLine="42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ACEI/ARB类药物常见不良反应包括①咳嗽（ACEI类药物）；②肾功能减退、蛋白尿；③肝功能异常；④高钾血症；⑤低血压。服用ACEI类药物后密切关注患者是否出现咳嗽的症状，并定期监测肝肾功能及血压、血钾水平。若患者出现血钾＞5.5 mmol/L、血肌酐升高＞30%或eGFR下降＞25%，并排除容量不足、合并用药等可能的原因后，应考虑减量或停用药物。</w:t>
      </w:r>
    </w:p>
    <w:p w14:paraId="7EF5F310">
      <w:pPr>
        <w:pStyle w:val="5"/>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5.4.1.6 ARNI药物</w:t>
      </w:r>
    </w:p>
    <w:p w14:paraId="3C7A9DE1">
      <w:pPr>
        <w:widowControl/>
        <w:ind w:firstLine="42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ARNI药物常见不良反应包括①血管性水肿；②低血压；③肾功能损害；④高钾血症；⑤过敏反应。服药后关注患者是否出现水肿症状，并定期监测肾功能、血压、血钾等水平。患者服用该药物宜从较低剂量起始，逐渐增加剂量；禁止与ACEI合用，以免增加血管性水肿的发生风险，且须在应用最后一剂ACEI类药物36 h之后才能开始应用ARNI类药物。使用药物期间如若发生血管性水肿，应立即停药，给予适当的治疗并监测呼吸道受累情况。</w:t>
      </w:r>
    </w:p>
    <w:p w14:paraId="47079E53">
      <w:pPr>
        <w:pStyle w:val="5"/>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5.4.1.7 PCSK9抑制剂</w:t>
      </w:r>
    </w:p>
    <w:p w14:paraId="0A51AAFA">
      <w:pPr>
        <w:widowControl/>
        <w:ind w:firstLine="42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PCSK9抑制剂常见不良反应包括①鼻咽炎；②背痛；③流感；④上呼吸道感染；⑤注射部位不良反应等。服药期间需密切观察患者呼吸道症状，注射部位情况。患者在服药期间如出现皮疹、呼吸困难等过敏反应，应立即停药就医，进行必要的实验室检查以评估潜在风险。</w:t>
      </w:r>
    </w:p>
    <w:p w14:paraId="7A18DD9B">
      <w:pPr>
        <w:pStyle w:val="5"/>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5.4.1.8 抗血小板药物</w:t>
      </w:r>
    </w:p>
    <w:p w14:paraId="26FA8AA2">
      <w:pPr>
        <w:ind w:firstLine="42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抗血小板药物常见不良反应</w:t>
      </w:r>
      <w:r>
        <w:rPr>
          <w:rFonts w:hint="eastAsia"/>
          <w:color w:val="000000" w:themeColor="text1"/>
          <w14:textFill>
            <w14:solidFill>
              <w14:schemeClr w14:val="tx1"/>
            </w14:solidFill>
          </w14:textFill>
        </w:rPr>
        <w:t>包括</w:t>
      </w:r>
      <w:r>
        <w:rPr>
          <w:rFonts w:hint="eastAsia"/>
          <w:color w:val="000000" w:themeColor="text1"/>
          <w:lang w:bidi="ar"/>
          <w14:textFill>
            <w14:solidFill>
              <w14:schemeClr w14:val="tx1"/>
            </w14:solidFill>
          </w14:textFill>
        </w:rPr>
        <w:t>①出血倾向；②胃肠道反应；③肝酶水平升高；④白细胞减少、血小板降低。要关注患者在用药期间是否出现牙龈出血、鼻出血、黑便、胃肠道不适及胃肠道不适等症状，定期监测凝血功能、肝功能等指标。</w:t>
      </w:r>
    </w:p>
    <w:p w14:paraId="74A51E1F">
      <w:pPr>
        <w:pStyle w:val="5"/>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5.4.1.9 溶栓药物</w:t>
      </w:r>
    </w:p>
    <w:p w14:paraId="7D819115">
      <w:pPr>
        <w:ind w:firstLine="420"/>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溶栓药物常见不良反应包括①出血倾向；②再灌注损伤；③再闭塞。再灌注损伤多见于发病3 h后进行溶栓治疗的患者，溶栓治疗数个小时内，血管可能再次发生闭塞，服药过程中密切观察患者的出血风险和症状体征。</w:t>
      </w:r>
    </w:p>
    <w:p w14:paraId="6EA7BC5A">
      <w:pPr>
        <w:pStyle w:val="5"/>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5.4.1.10 抗凝药物</w:t>
      </w:r>
    </w:p>
    <w:p w14:paraId="33F1ADED">
      <w:pPr>
        <w:spacing w:before="156" w:after="156"/>
        <w:ind w:firstLine="420"/>
        <w:rPr>
          <w:color w:val="000000" w:themeColor="text1"/>
          <w14:textFill>
            <w14:solidFill>
              <w14:schemeClr w14:val="tx1"/>
            </w14:solidFill>
          </w14:textFill>
        </w:rPr>
      </w:pPr>
      <w:r>
        <w:rPr>
          <w:rFonts w:hint="eastAsia"/>
          <w:color w:val="000000" w:themeColor="text1"/>
          <w:lang w:bidi="ar"/>
          <w14:textFill>
            <w14:solidFill>
              <w14:schemeClr w14:val="tx1"/>
            </w14:solidFill>
          </w14:textFill>
        </w:rPr>
        <w:t>抗凝药物常见不良反应包括①出血倾向；②骨质疏松/自发性骨折。服药过程中密切关注患者出血症状如牙龈出血、皮肤瘀斑等和骨折风险。对于非ST段抬高型急性冠状动脉综合征患者，根据体重调整肝素剂量方案，逐渐调节以达到活化部分凝血活酶时间，目标范围为50～75秒。也可监测活化部分凝血活酶时间或抗Xa因子活性检测药物的抗凝效果。</w:t>
      </w:r>
    </w:p>
    <w:p w14:paraId="59AA1FDC">
      <w:pPr>
        <w:pStyle w:val="37"/>
        <w:spacing w:before="156" w:after="156"/>
        <w:rPr>
          <w:color w:val="000000" w:themeColor="text1"/>
          <w14:textFill>
            <w14:solidFill>
              <w14:schemeClr w14:val="tx1"/>
            </w14:solidFill>
          </w14:textFill>
        </w:rPr>
      </w:pPr>
      <w:bookmarkStart w:id="106" w:name="_Toc31378"/>
      <w:bookmarkStart w:id="107" w:name="_Toc870"/>
      <w:bookmarkStart w:id="108" w:name="_Toc23586"/>
      <w:r>
        <w:rPr>
          <w:rFonts w:hint="eastAsia"/>
          <w:color w:val="000000" w:themeColor="text1"/>
          <w14:textFill>
            <w14:solidFill>
              <w14:schemeClr w14:val="tx1"/>
            </w14:solidFill>
          </w14:textFill>
        </w:rPr>
        <w:t>5.4.2 用药有效性监护</w:t>
      </w:r>
      <w:bookmarkEnd w:id="104"/>
      <w:bookmarkEnd w:id="105"/>
      <w:bookmarkEnd w:id="106"/>
      <w:bookmarkEnd w:id="107"/>
      <w:bookmarkEnd w:id="108"/>
      <w:bookmarkStart w:id="109" w:name="_Toc190439670"/>
    </w:p>
    <w:p w14:paraId="6E950EB0">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5.4.2.1 </w:t>
      </w:r>
      <w:bookmarkEnd w:id="109"/>
      <w:r>
        <w:rPr>
          <w:color w:val="000000" w:themeColor="text1"/>
          <w14:textFill>
            <w14:solidFill>
              <w14:schemeClr w14:val="tx1"/>
            </w14:solidFill>
          </w14:textFill>
        </w:rPr>
        <w:t>症状体征监护</w:t>
      </w:r>
    </w:p>
    <w:p w14:paraId="676178FC">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胸痛是冠心病患者最常见的症状，临床药师应监护患者休息或含服硝酸酯类药物治疗后数分钟内胸痛是否缓解。对于伴有呼吸困难或一些非特异性症状如乏力或虚弱感、头晕、恶心、坐立不安等的患者应询问其症状是否减轻。每次药学查房时进行监护。临床药师查房后应就查房过程中发现的问题及时与医生、护士及患者沟通。</w:t>
      </w:r>
    </w:p>
    <w:p w14:paraId="216B4FEA">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5.4.2.2 辅助检查监护</w:t>
      </w:r>
    </w:p>
    <w:p w14:paraId="2CE57ADB">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通过心电图检查、超声心动图检查、冠状动脉计算机断层扫描血管显像、冠状动脉造影、胸部X线检查等评估心血管病危险因素及预后评价，并为诊疗提供决策。</w:t>
      </w:r>
    </w:p>
    <w:p w14:paraId="7AA6FBE5">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5.4.2</w:t>
      </w: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血脂控制目标</w:t>
      </w:r>
    </w:p>
    <w:p w14:paraId="731A864F">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推荐LDL-C作为降脂治疗的首要目标，LDL-C控制水平应依据动脉粥样硬化心血管疾病总体风险而定。低危患者推荐目标值为＜3.4 mmol/L；中、高危患者推荐目标值为＜2.6 mmol/L；极高危患者推荐目标值为＜1.8 mmol/L，且较基线降低幅度＞50%；超高危患者推荐目标值为＜1.4 mmol/L，且较基线降低幅度＞50%。详见“5.4.4.1冠心病合并</w:t>
      </w:r>
      <w:r>
        <w:rPr>
          <w:rFonts w:ascii="Times New Roman" w:hAnsi="Times New Roman" w:cs="Times New Roman" w:eastAsiaTheme="minorEastAsia"/>
          <w:color w:val="000000" w:themeColor="text1"/>
          <w14:textFill>
            <w14:solidFill>
              <w14:schemeClr w14:val="tx1"/>
            </w14:solidFill>
          </w14:textFill>
        </w:rPr>
        <w:t>高</w:t>
      </w:r>
      <w:r>
        <w:rPr>
          <w:rFonts w:hint="eastAsia" w:ascii="Times New Roman" w:hAnsi="Times New Roman" w:cs="Times New Roman" w:eastAsiaTheme="minorEastAsia"/>
          <w:color w:val="000000" w:themeColor="text1"/>
          <w14:textFill>
            <w14:solidFill>
              <w14:schemeClr w14:val="tx1"/>
            </w14:solidFill>
          </w14:textFill>
        </w:rPr>
        <w:t>血脂患者</w:t>
      </w:r>
      <w:r>
        <w:rPr>
          <w:rFonts w:hint="eastAsia"/>
          <w:color w:val="000000" w:themeColor="text1"/>
          <w14:textFill>
            <w14:solidFill>
              <w14:schemeClr w14:val="tx1"/>
            </w14:solidFill>
          </w14:textFill>
        </w:rPr>
        <w:t>”。</w:t>
      </w:r>
    </w:p>
    <w:p w14:paraId="5B9F8A4C">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5.4.2.4 血压和血糖控制目标</w:t>
      </w:r>
    </w:p>
    <w:p w14:paraId="12895A5B">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高血压和糖尿病是冠心病患者的高危因素，建议对所有冠心病患者进行筛查，对于已确诊的高血压和糖尿病患者应密切监测血压和血糖，控制目标应综合考虑多种因素，详见“5.4.4.2冠心病合并</w:t>
      </w:r>
      <w:r>
        <w:rPr>
          <w:rFonts w:cs="Times New Roman" w:eastAsiaTheme="minorEastAsia"/>
          <w:color w:val="000000" w:themeColor="text1"/>
          <w14:textFill>
            <w14:solidFill>
              <w14:schemeClr w14:val="tx1"/>
            </w14:solidFill>
          </w14:textFill>
        </w:rPr>
        <w:t>高血压</w:t>
      </w:r>
      <w:r>
        <w:rPr>
          <w:rFonts w:hint="eastAsia" w:cs="Times New Roman" w:eastAsiaTheme="minorEastAsia"/>
          <w:color w:val="000000" w:themeColor="text1"/>
          <w14:textFill>
            <w14:solidFill>
              <w14:schemeClr w14:val="tx1"/>
            </w14:solidFill>
          </w14:textFill>
        </w:rPr>
        <w:t>患者和</w:t>
      </w:r>
      <w:r>
        <w:rPr>
          <w:color w:val="000000" w:themeColor="text1"/>
          <w14:textFill>
            <w14:solidFill>
              <w14:schemeClr w14:val="tx1"/>
            </w14:solidFill>
          </w14:textFill>
        </w:rPr>
        <w:t>5.4.4</w:t>
      </w:r>
      <w:r>
        <w:rPr>
          <w:rFonts w:hint="eastAsia"/>
          <w:color w:val="000000" w:themeColor="text1"/>
          <w14:textFill>
            <w14:solidFill>
              <w14:schemeClr w14:val="tx1"/>
            </w14:solidFill>
          </w14:textFill>
        </w:rPr>
        <w:t>.3冠心病合并</w:t>
      </w:r>
      <w:r>
        <w:rPr>
          <w:rFonts w:hint="eastAsia" w:ascii="Times New Roman" w:hAnsi="Times New Roman" w:cs="Times New Roman" w:eastAsiaTheme="minorEastAsia"/>
          <w:color w:val="000000" w:themeColor="text1"/>
          <w14:textFill>
            <w14:solidFill>
              <w14:schemeClr w14:val="tx1"/>
            </w14:solidFill>
          </w14:textFill>
        </w:rPr>
        <w:t>糖尿病患者</w:t>
      </w:r>
      <w:r>
        <w:rPr>
          <w:rFonts w:hint="eastAsia"/>
          <w:color w:val="000000" w:themeColor="text1"/>
          <w14:textFill>
            <w14:solidFill>
              <w14:schemeClr w14:val="tx1"/>
            </w14:solidFill>
          </w14:textFill>
        </w:rPr>
        <w:t>”。</w:t>
      </w:r>
    </w:p>
    <w:p w14:paraId="3A5C193E">
      <w:pPr>
        <w:pStyle w:val="5"/>
        <w:rPr>
          <w:color w:val="000000" w:themeColor="text1"/>
          <w14:textFill>
            <w14:solidFill>
              <w14:schemeClr w14:val="tx1"/>
            </w14:solidFill>
          </w14:textFill>
        </w:rPr>
      </w:pPr>
      <w:bookmarkStart w:id="110" w:name="_Toc190439672"/>
      <w:bookmarkStart w:id="111" w:name="_Toc195033204"/>
      <w:bookmarkStart w:id="112" w:name="_Toc8839"/>
      <w:bookmarkStart w:id="113" w:name="_Toc19952"/>
      <w:bookmarkStart w:id="114" w:name="_Toc195469963"/>
      <w:r>
        <w:rPr>
          <w:rFonts w:hint="eastAsia"/>
          <w:color w:val="000000" w:themeColor="text1"/>
          <w14:textFill>
            <w14:solidFill>
              <w14:schemeClr w14:val="tx1"/>
            </w14:solidFill>
          </w14:textFill>
        </w:rPr>
        <w:t>5.4.2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心率控制目标</w:t>
      </w:r>
    </w:p>
    <w:p w14:paraId="7A414499">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冠心病患者的心率干预切点为静息心率&gt;80次。建议将冠心病患者的静息心率控制在55～60次。合并心力衰竭、心房颤动疾病患者的心率控制，详见“5.4.4.4冠心病合并</w:t>
      </w:r>
      <w:r>
        <w:rPr>
          <w:rFonts w:ascii="Times New Roman" w:hAnsi="Times New Roman" w:cs="Times New Roman" w:eastAsiaTheme="minorEastAsia"/>
          <w:color w:val="000000" w:themeColor="text1"/>
          <w14:textFill>
            <w14:solidFill>
              <w14:schemeClr w14:val="tx1"/>
            </w14:solidFill>
          </w14:textFill>
        </w:rPr>
        <w:t>心房颤动</w:t>
      </w:r>
      <w:r>
        <w:rPr>
          <w:rFonts w:hint="eastAsia" w:ascii="Times New Roman" w:hAnsi="Times New Roman" w:cs="Times New Roman" w:eastAsiaTheme="minorEastAsia"/>
          <w:color w:val="000000" w:themeColor="text1"/>
          <w14:textFill>
            <w14:solidFill>
              <w14:schemeClr w14:val="tx1"/>
            </w14:solidFill>
          </w14:textFill>
        </w:rPr>
        <w:t>患者</w:t>
      </w:r>
      <w:r>
        <w:rPr>
          <w:rFonts w:hint="eastAsia" w:cs="Times New Roman" w:eastAsiaTheme="minorEastAsia"/>
          <w:color w:val="000000" w:themeColor="text1"/>
          <w14:textFill>
            <w14:solidFill>
              <w14:schemeClr w14:val="tx1"/>
            </w14:solidFill>
          </w14:textFill>
        </w:rPr>
        <w:t>和</w:t>
      </w:r>
      <w:r>
        <w:rPr>
          <w:color w:val="000000" w:themeColor="text1"/>
          <w14:textFill>
            <w14:solidFill>
              <w14:schemeClr w14:val="tx1"/>
            </w14:solidFill>
          </w14:textFill>
        </w:rPr>
        <w:t>5.4.4</w:t>
      </w:r>
      <w:r>
        <w:rPr>
          <w:rFonts w:hint="eastAsia"/>
          <w:color w:val="000000" w:themeColor="text1"/>
          <w14:textFill>
            <w14:solidFill>
              <w14:schemeClr w14:val="tx1"/>
            </w14:solidFill>
          </w14:textFill>
        </w:rPr>
        <w:t>.5冠心病合并</w:t>
      </w:r>
      <w:r>
        <w:rPr>
          <w:rFonts w:hint="eastAsia" w:ascii="Times New Roman" w:hAnsi="Times New Roman" w:cs="Times New Roman"/>
          <w:color w:val="000000" w:themeColor="text1"/>
          <w14:textFill>
            <w14:solidFill>
              <w14:schemeClr w14:val="tx1"/>
            </w14:solidFill>
          </w14:textFill>
        </w:rPr>
        <w:t>心力衰竭</w:t>
      </w:r>
      <w:r>
        <w:rPr>
          <w:rFonts w:hint="eastAsia" w:ascii="Times New Roman" w:hAnsi="Times New Roman" w:cs="Times New Roman" w:eastAsiaTheme="minorEastAsia"/>
          <w:color w:val="000000" w:themeColor="text1"/>
          <w14:textFill>
            <w14:solidFill>
              <w14:schemeClr w14:val="tx1"/>
            </w14:solidFill>
          </w14:textFill>
        </w:rPr>
        <w:t>患者</w:t>
      </w:r>
      <w:r>
        <w:rPr>
          <w:rFonts w:hint="eastAsia"/>
          <w:color w:val="000000" w:themeColor="text1"/>
          <w14:textFill>
            <w14:solidFill>
              <w14:schemeClr w14:val="tx1"/>
            </w14:solidFill>
          </w14:textFill>
        </w:rPr>
        <w:t>”。</w:t>
      </w:r>
    </w:p>
    <w:p w14:paraId="34F1A30F">
      <w:pPr>
        <w:pStyle w:val="37"/>
        <w:spacing w:before="156" w:after="156"/>
        <w:rPr>
          <w:color w:val="000000" w:themeColor="text1"/>
          <w14:textFill>
            <w14:solidFill>
              <w14:schemeClr w14:val="tx1"/>
            </w14:solidFill>
          </w14:textFill>
        </w:rPr>
      </w:pPr>
      <w:bookmarkStart w:id="115" w:name="_Toc27111"/>
      <w:r>
        <w:rPr>
          <w:rFonts w:hint="eastAsia"/>
          <w:color w:val="000000" w:themeColor="text1"/>
          <w14:textFill>
            <w14:solidFill>
              <w14:schemeClr w14:val="tx1"/>
            </w14:solidFill>
          </w14:textFill>
        </w:rPr>
        <w:t>5.4.3 特殊人群监护</w:t>
      </w:r>
      <w:bookmarkEnd w:id="110"/>
      <w:bookmarkEnd w:id="111"/>
      <w:bookmarkEnd w:id="112"/>
      <w:bookmarkEnd w:id="113"/>
      <w:bookmarkEnd w:id="114"/>
      <w:bookmarkEnd w:id="115"/>
    </w:p>
    <w:p w14:paraId="35094B7E">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5.4.3.1 老年患者</w:t>
      </w:r>
    </w:p>
    <w:p w14:paraId="40A200D5">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老年人是冠心病的多发群体，往往存在多重用药、潜在不适当用药和药物相互作用等现象。通过查阅国内外权威指南分别制定</w:t>
      </w:r>
      <w:r>
        <w:rPr>
          <w:rFonts w:hint="eastAsia"/>
          <w:color w:val="000000" w:themeColor="text1"/>
          <w:szCs w:val="21"/>
          <w14:textFill>
            <w14:solidFill>
              <w14:schemeClr w14:val="tx1"/>
            </w14:solidFill>
          </w14:textFill>
        </w:rPr>
        <w:t>老年冠心病患者潜在不适当用药目录（附录C）、</w:t>
      </w:r>
      <w:r>
        <w:rPr>
          <w:rFonts w:hint="eastAsia" w:ascii="宋体" w:hAnsi="宋体"/>
          <w:color w:val="000000" w:themeColor="text1"/>
          <w:szCs w:val="21"/>
          <w14:textFill>
            <w14:solidFill>
              <w14:schemeClr w14:val="tx1"/>
            </w14:solidFill>
          </w14:textFill>
        </w:rPr>
        <w:t>老年冠心病患者药物-药物相互作用表（</w:t>
      </w:r>
      <w:r>
        <w:rPr>
          <w:rFonts w:hint="eastAsia"/>
          <w:color w:val="000000" w:themeColor="text1"/>
          <w:szCs w:val="21"/>
          <w14:textFill>
            <w14:solidFill>
              <w14:schemeClr w14:val="tx1"/>
            </w14:solidFill>
          </w14:textFill>
        </w:rPr>
        <w:t>附录D</w:t>
      </w:r>
      <w:r>
        <w:rPr>
          <w:rFonts w:hint="eastAsia" w:ascii="宋体" w:hAnsi="宋体"/>
          <w:color w:val="000000" w:themeColor="text1"/>
          <w:szCs w:val="21"/>
          <w14:textFill>
            <w14:solidFill>
              <w14:schemeClr w14:val="tx1"/>
            </w14:solidFill>
          </w14:textFill>
        </w:rPr>
        <w:t>）及</w:t>
      </w:r>
      <w:r>
        <w:rPr>
          <w:rFonts w:hint="eastAsia"/>
          <w:color w:val="000000" w:themeColor="text1"/>
          <w14:textFill>
            <w14:solidFill>
              <w14:schemeClr w14:val="tx1"/>
            </w14:solidFill>
          </w14:textFill>
        </w:rPr>
        <w:t>老年冠心病患者高风险药物替代方案</w:t>
      </w: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附录E</w:t>
      </w:r>
      <w:r>
        <w:rPr>
          <w:rFonts w:hint="eastAsia" w:ascii="宋体" w:hAnsi="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老年患者若使用上述目录药品应对其进行重点监护。</w:t>
      </w:r>
    </w:p>
    <w:p w14:paraId="2206BFFA">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5.4.3.2 儿童患者</w:t>
      </w:r>
    </w:p>
    <w:p w14:paraId="77FF9011">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儿童冠心病患者较少，可能与缺乏运动、过度肥胖以及遗传因素等相关。对于冠心病患儿应根据其身高、体重、发育情况等进行个体化的药物治疗。此外，临床医师应重点关注具有川崎病、家族性高胆固醇血症、儿童期动脉粥样硬化等疾病的患儿，除针对原发病治疗外，还应进行生活方式干预，如严格管理饮食和增加体育活动。</w:t>
      </w:r>
    </w:p>
    <w:p w14:paraId="2246C980">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5.4.3.3 妊娠及哺乳期患者</w:t>
      </w:r>
    </w:p>
    <w:p w14:paraId="10ACE794">
      <w:pPr>
        <w:ind w:firstLine="420"/>
        <w:rPr>
          <w:color w:val="000000" w:themeColor="text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妊娠期及哺乳期女性患者的冠心病治疗需兼顾母体疗效和胎儿发育的安全性。小剂量阿司匹林对该类人群相对安全。妊娠合并冠心病患者行PCI时，应避免使用血小板糖蛋白Ⅱb/Ⅲa受体拮抗剂和比伐芦定，且短期肝素化可增加出血风险。此外，由于</w:t>
      </w:r>
      <w:r>
        <w:rPr>
          <w:rFonts w:ascii="Times New Roman" w:hAnsi="Times New Roman" w:cs="Times New Roman"/>
          <w:color w:val="000000" w:themeColor="text1"/>
          <w:szCs w:val="21"/>
          <w14:textFill>
            <w14:solidFill>
              <w14:schemeClr w14:val="tx1"/>
            </w14:solidFill>
          </w14:textFill>
        </w:rPr>
        <w:t>妊娠期和围产期出血风险增加，</w:t>
      </w:r>
      <w:r>
        <w:rPr>
          <w:rFonts w:hint="eastAsia" w:ascii="Times New Roman" w:hAnsi="Times New Roman" w:cs="Times New Roman"/>
          <w:color w:val="000000" w:themeColor="text1"/>
          <w:szCs w:val="21"/>
          <w14:textFill>
            <w14:solidFill>
              <w14:schemeClr w14:val="tx1"/>
            </w14:solidFill>
          </w14:textFill>
        </w:rPr>
        <w:t>应</w:t>
      </w:r>
      <w:r>
        <w:rPr>
          <w:rFonts w:ascii="Times New Roman" w:hAnsi="Times New Roman" w:cs="Times New Roman"/>
          <w:color w:val="000000" w:themeColor="text1"/>
          <w:szCs w:val="21"/>
          <w14:textFill>
            <w14:solidFill>
              <w14:schemeClr w14:val="tx1"/>
            </w14:solidFill>
          </w14:textFill>
        </w:rPr>
        <w:t>慎用溶栓药物。他汀类药物原则上禁用于妊娠及哺乳期，但对心血管极高危患者如家族性高胆固醇血症或动脉粥样硬化性心血管疾病者需个体化权衡获益风险。</w:t>
      </w:r>
      <w:r>
        <w:rPr>
          <w:rFonts w:ascii="Times New Roman" w:hAnsi="Times New Roman" w:cs="Times New Roman"/>
          <w:i/>
          <w:iCs/>
          <w:color w:val="000000" w:themeColor="text1"/>
          <w:szCs w:val="21"/>
          <w14:textFill>
            <w14:solidFill>
              <w14:schemeClr w14:val="tx1"/>
            </w14:solidFill>
          </w14:textFill>
        </w:rPr>
        <w:t>β</w:t>
      </w:r>
      <w:r>
        <w:rPr>
          <w:rFonts w:ascii="Times New Roman" w:hAnsi="Times New Roman" w:cs="Times New Roman"/>
          <w:color w:val="000000" w:themeColor="text1"/>
          <w:szCs w:val="21"/>
          <w14:textFill>
            <w14:solidFill>
              <w14:schemeClr w14:val="tx1"/>
            </w14:solidFill>
          </w14:textFill>
        </w:rPr>
        <w:t>受体阻滞剂可降低妊娠期自发性冠状动脉夹层风险，但可能引发胎儿生长受限</w:t>
      </w:r>
      <w:r>
        <w:rPr>
          <w:rFonts w:hint="eastAsia" w:ascii="Times New Roman" w:hAnsi="Times New Roman" w:cs="Times New Roman"/>
          <w:color w:val="000000" w:themeColor="text1"/>
          <w:szCs w:val="21"/>
          <w14:textFill>
            <w14:solidFill>
              <w14:schemeClr w14:val="tx1"/>
            </w14:solidFill>
          </w14:textFill>
        </w:rPr>
        <w:t>以</w:t>
      </w:r>
      <w:r>
        <w:rPr>
          <w:rFonts w:ascii="Times New Roman" w:hAnsi="Times New Roman" w:cs="Times New Roman"/>
          <w:color w:val="000000" w:themeColor="text1"/>
          <w:szCs w:val="21"/>
          <w14:textFill>
            <w14:solidFill>
              <w14:schemeClr w14:val="tx1"/>
            </w14:solidFill>
          </w14:textFill>
        </w:rPr>
        <w:t>及新生儿心动过缓。妊娠合并冠心病患者</w:t>
      </w:r>
      <w:r>
        <w:rPr>
          <w:rFonts w:hint="eastAsia" w:ascii="Times New Roman" w:hAnsi="Times New Roman" w:cs="Times New Roman"/>
          <w:color w:val="000000" w:themeColor="text1"/>
          <w:szCs w:val="21"/>
          <w14:textFill>
            <w14:solidFill>
              <w14:schemeClr w14:val="tx1"/>
            </w14:solidFill>
          </w14:textFill>
        </w:rPr>
        <w:t>使用</w:t>
      </w:r>
      <w:r>
        <w:rPr>
          <w:rFonts w:ascii="Times New Roman" w:hAnsi="Times New Roman" w:cs="Times New Roman"/>
          <w:color w:val="000000" w:themeColor="text1"/>
          <w:szCs w:val="21"/>
          <w14:textFill>
            <w14:solidFill>
              <w14:schemeClr w14:val="tx1"/>
            </w14:solidFill>
          </w14:textFill>
        </w:rPr>
        <w:t>硝酸酯类药物</w:t>
      </w:r>
      <w:r>
        <w:rPr>
          <w:rFonts w:hint="eastAsia" w:ascii="Times New Roman" w:hAnsi="Times New Roman" w:cs="Times New Roman"/>
          <w:color w:val="000000" w:themeColor="text1"/>
          <w:szCs w:val="21"/>
          <w14:textFill>
            <w14:solidFill>
              <w14:schemeClr w14:val="tx1"/>
            </w14:solidFill>
          </w14:textFill>
        </w:rPr>
        <w:t>目前</w:t>
      </w:r>
      <w:r>
        <w:rPr>
          <w:rFonts w:ascii="Times New Roman" w:hAnsi="Times New Roman" w:cs="Times New Roman"/>
          <w:color w:val="000000" w:themeColor="text1"/>
          <w:szCs w:val="21"/>
          <w14:textFill>
            <w14:solidFill>
              <w14:schemeClr w14:val="tx1"/>
            </w14:solidFill>
          </w14:textFill>
        </w:rPr>
        <w:t>未见报告显著不良事件。</w:t>
      </w:r>
      <w:r>
        <w:rPr>
          <w:rFonts w:hint="eastAsia" w:ascii="Times New Roman" w:hAnsi="Times New Roman" w:cs="Times New Roman"/>
          <w:color w:val="000000" w:themeColor="text1"/>
          <w:szCs w:val="21"/>
          <w14:textFill>
            <w14:solidFill>
              <w14:schemeClr w14:val="tx1"/>
            </w14:solidFill>
          </w14:textFill>
        </w:rPr>
        <w:t>ACEI/ARB类、CCB类药物具有致畸作用，妊娠期及哺乳期女性禁止</w:t>
      </w:r>
      <w:r>
        <w:rPr>
          <w:rFonts w:ascii="Times New Roman" w:hAnsi="Times New Roman" w:cs="Times New Roman"/>
          <w:color w:val="000000" w:themeColor="text1"/>
          <w:szCs w:val="21"/>
          <w14:textFill>
            <w14:solidFill>
              <w14:schemeClr w14:val="tx1"/>
            </w14:solidFill>
          </w14:textFill>
        </w:rPr>
        <w:t>使用。</w:t>
      </w:r>
    </w:p>
    <w:p w14:paraId="543CD575">
      <w:pPr>
        <w:pStyle w:val="5"/>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 xml:space="preserve">5.4.3.4 </w:t>
      </w:r>
      <w:r>
        <w:rPr>
          <w:rFonts w:hint="eastAsia"/>
          <w:color w:val="000000" w:themeColor="text1"/>
          <w14:textFill>
            <w14:solidFill>
              <w14:schemeClr w14:val="tx1"/>
            </w14:solidFill>
          </w14:textFill>
        </w:rPr>
        <w:t>合并</w:t>
      </w:r>
      <w:r>
        <w:rPr>
          <w:rFonts w:cs="Times New Roman" w:eastAsiaTheme="minorEastAsia"/>
          <w:color w:val="000000" w:themeColor="text1"/>
          <w14:textFill>
            <w14:solidFill>
              <w14:schemeClr w14:val="tx1"/>
            </w14:solidFill>
          </w14:textFill>
        </w:rPr>
        <w:t>肝、肾功能不全</w:t>
      </w:r>
      <w:r>
        <w:rPr>
          <w:rFonts w:hint="eastAsia" w:cs="Times New Roman" w:eastAsiaTheme="minorEastAsia"/>
          <w:color w:val="000000" w:themeColor="text1"/>
          <w14:textFill>
            <w14:solidFill>
              <w14:schemeClr w14:val="tx1"/>
            </w14:solidFill>
          </w14:textFill>
        </w:rPr>
        <w:t>患者</w:t>
      </w:r>
    </w:p>
    <w:p w14:paraId="3CD5C84A">
      <w:pPr>
        <w:ind w:firstLine="420"/>
        <w:rPr>
          <w:color w:val="000000" w:themeColor="text1"/>
          <w14:textFill>
            <w14:solidFill>
              <w14:schemeClr w14:val="tx1"/>
            </w14:solidFill>
          </w14:textFill>
        </w:rPr>
      </w:pPr>
      <w:r>
        <w:rPr>
          <w:color w:val="000000" w:themeColor="text1"/>
          <w14:textFill>
            <w14:solidFill>
              <w14:schemeClr w14:val="tx1"/>
            </w14:solidFill>
          </w14:textFill>
        </w:rPr>
        <w:t>在冠心病</w:t>
      </w:r>
      <w:r>
        <w:rPr>
          <w:rFonts w:hint="eastAsia"/>
          <w:color w:val="000000" w:themeColor="text1"/>
          <w14:textFill>
            <w14:solidFill>
              <w14:schemeClr w14:val="tx1"/>
            </w14:solidFill>
          </w14:textFill>
        </w:rPr>
        <w:t>患者</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用药</w:t>
      </w:r>
      <w:r>
        <w:rPr>
          <w:color w:val="000000" w:themeColor="text1"/>
          <w14:textFill>
            <w14:solidFill>
              <w14:schemeClr w14:val="tx1"/>
            </w14:solidFill>
          </w14:textFill>
        </w:rPr>
        <w:t>过程中均应进行肝肾功能的监测，必要时调整药物剂量</w:t>
      </w: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附录F</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14:paraId="7071901A">
      <w:pPr>
        <w:pStyle w:val="37"/>
        <w:spacing w:before="156" w:after="156"/>
        <w:rPr>
          <w:color w:val="000000" w:themeColor="text1"/>
          <w14:textFill>
            <w14:solidFill>
              <w14:schemeClr w14:val="tx1"/>
            </w14:solidFill>
          </w14:textFill>
        </w:rPr>
      </w:pPr>
      <w:bookmarkStart w:id="116" w:name="_Toc19722"/>
      <w:r>
        <w:rPr>
          <w:rFonts w:hint="eastAsia"/>
          <w:color w:val="000000" w:themeColor="text1"/>
          <w14:textFill>
            <w14:solidFill>
              <w14:schemeClr w14:val="tx1"/>
            </w14:solidFill>
          </w14:textFill>
        </w:rPr>
        <w:t>5.4.4 特殊合并症人群监护</w:t>
      </w:r>
      <w:bookmarkEnd w:id="116"/>
    </w:p>
    <w:p w14:paraId="4FB231C0">
      <w:pPr>
        <w:pStyle w:val="5"/>
        <w:rPr>
          <w:rFonts w:cs="Times New Roman"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5.4.4.1 </w:t>
      </w:r>
      <w:r>
        <w:rPr>
          <w:rFonts w:hint="eastAsia" w:cs="Times New Roman"/>
          <w:color w:val="000000" w:themeColor="text1"/>
          <w14:textFill>
            <w14:solidFill>
              <w14:schemeClr w14:val="tx1"/>
            </w14:solidFill>
          </w14:textFill>
        </w:rPr>
        <w:t>冠心病</w:t>
      </w:r>
      <w:r>
        <w:rPr>
          <w:rFonts w:hint="eastAsia"/>
          <w:color w:val="000000" w:themeColor="text1"/>
          <w14:textFill>
            <w14:solidFill>
              <w14:schemeClr w14:val="tx1"/>
            </w14:solidFill>
          </w14:textFill>
        </w:rPr>
        <w:t>合并</w:t>
      </w:r>
      <w:r>
        <w:rPr>
          <w:rFonts w:cs="Times New Roman" w:eastAsiaTheme="minorEastAsia"/>
          <w:color w:val="000000" w:themeColor="text1"/>
          <w14:textFill>
            <w14:solidFill>
              <w14:schemeClr w14:val="tx1"/>
            </w14:solidFill>
          </w14:textFill>
        </w:rPr>
        <w:t>高</w:t>
      </w:r>
      <w:r>
        <w:rPr>
          <w:rFonts w:hint="eastAsia" w:cs="Times New Roman" w:eastAsiaTheme="minorEastAsia"/>
          <w:color w:val="000000" w:themeColor="text1"/>
          <w14:textFill>
            <w14:solidFill>
              <w14:schemeClr w14:val="tx1"/>
            </w14:solidFill>
          </w14:textFill>
        </w:rPr>
        <w:t>血脂患者</w:t>
      </w:r>
    </w:p>
    <w:p w14:paraId="022B79C8">
      <w:pPr>
        <w:ind w:firstLine="420"/>
        <w:rPr>
          <w:color w:val="000000" w:themeColor="text1"/>
          <w14:textFill>
            <w14:solidFill>
              <w14:schemeClr w14:val="tx1"/>
            </w14:solidFill>
          </w14:textFill>
        </w:rPr>
      </w:pPr>
      <w:r>
        <w:rPr>
          <w:color w:val="000000" w:themeColor="text1"/>
          <w14:textFill>
            <w14:solidFill>
              <w14:schemeClr w14:val="tx1"/>
            </w14:solidFill>
          </w14:textFill>
        </w:rPr>
        <w:t>对于</w:t>
      </w:r>
      <w:r>
        <w:rPr>
          <w:rFonts w:hint="eastAsia"/>
          <w:color w:val="000000" w:themeColor="text1"/>
          <w14:textFill>
            <w14:solidFill>
              <w14:schemeClr w14:val="tx1"/>
            </w14:solidFill>
          </w14:textFill>
        </w:rPr>
        <w:t>合并</w:t>
      </w:r>
      <w:r>
        <w:rPr>
          <w:rFonts w:ascii="Times New Roman" w:hAnsi="Times New Roman" w:cs="Times New Roman" w:eastAsiaTheme="minorEastAsia"/>
          <w:color w:val="000000" w:themeColor="text1"/>
          <w14:textFill>
            <w14:solidFill>
              <w14:schemeClr w14:val="tx1"/>
            </w14:solidFill>
          </w14:textFill>
        </w:rPr>
        <w:t>高</w:t>
      </w:r>
      <w:r>
        <w:rPr>
          <w:rFonts w:hint="eastAsia" w:ascii="Times New Roman" w:hAnsi="Times New Roman" w:cs="Times New Roman" w:eastAsiaTheme="minorEastAsia"/>
          <w:color w:val="000000" w:themeColor="text1"/>
          <w14:textFill>
            <w14:solidFill>
              <w14:schemeClr w14:val="tx1"/>
            </w14:solidFill>
          </w14:textFill>
        </w:rPr>
        <w:t>血脂的</w:t>
      </w:r>
      <w:r>
        <w:rPr>
          <w:color w:val="000000" w:themeColor="text1"/>
          <w14:textFill>
            <w14:solidFill>
              <w14:schemeClr w14:val="tx1"/>
            </w14:solidFill>
          </w14:textFill>
        </w:rPr>
        <w:t>冠心病患者，</w:t>
      </w:r>
      <w:r>
        <w:rPr>
          <w:rFonts w:hint="eastAsia"/>
          <w:color w:val="000000" w:themeColor="text1"/>
          <w14:textFill>
            <w14:solidFill>
              <w14:schemeClr w14:val="tx1"/>
            </w14:solidFill>
          </w14:textFill>
        </w:rPr>
        <w:t>LDL-C仍作为降脂治疗的首要目标，LDL-C控制水平应依据动脉粥样硬化性心血管疾病（ASCVD）总体风险而定。低危患者推荐目标值为＜3.4 mmol/L；中、高危患者推荐目标值为＜2.6 mmol/L；极高危患者推荐目标值为＜1.8 mmol/L，且较基线降低幅度＞50%；超高危患者推荐目标值为＜1.4 mmol/L，且较基线降低幅度＞50%。中等剂量他汀类药物常作为降LDL-C的初始治疗，若LDL-C未达标应考虑联合胆固醇吸收抑制剂和（或）PCSK9抑制剂。用药期间应密切监护血脂变化。</w:t>
      </w:r>
    </w:p>
    <w:p w14:paraId="58EB97C4">
      <w:pPr>
        <w:pStyle w:val="5"/>
        <w:rPr>
          <w:rFonts w:cs="Times New Roman"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5.4.4.2 冠心病合并</w:t>
      </w:r>
      <w:r>
        <w:rPr>
          <w:rFonts w:cs="Times New Roman" w:eastAsiaTheme="minorEastAsia"/>
          <w:color w:val="000000" w:themeColor="text1"/>
          <w14:textFill>
            <w14:solidFill>
              <w14:schemeClr w14:val="tx1"/>
            </w14:solidFill>
          </w14:textFill>
        </w:rPr>
        <w:t>高血压</w:t>
      </w:r>
      <w:r>
        <w:rPr>
          <w:rFonts w:hint="eastAsia" w:cs="Times New Roman" w:eastAsiaTheme="minorEastAsia"/>
          <w:color w:val="000000" w:themeColor="text1"/>
          <w14:textFill>
            <w14:solidFill>
              <w14:schemeClr w14:val="tx1"/>
            </w14:solidFill>
          </w14:textFill>
        </w:rPr>
        <w:t>患者</w:t>
      </w:r>
    </w:p>
    <w:p w14:paraId="612A1731">
      <w:pPr>
        <w:ind w:firstLine="420"/>
        <w:rPr>
          <w:color w:val="000000" w:themeColor="text1"/>
          <w14:textFill>
            <w14:solidFill>
              <w14:schemeClr w14:val="tx1"/>
            </w14:solidFill>
          </w14:textFill>
        </w:rPr>
      </w:pPr>
      <w:r>
        <w:rPr>
          <w:color w:val="000000" w:themeColor="text1"/>
          <w14:textFill>
            <w14:solidFill>
              <w14:schemeClr w14:val="tx1"/>
            </w14:solidFill>
          </w14:textFill>
        </w:rPr>
        <w:t>对于</w:t>
      </w:r>
      <w:r>
        <w:rPr>
          <w:rFonts w:hint="eastAsia"/>
          <w:color w:val="000000" w:themeColor="text1"/>
          <w14:textFill>
            <w14:solidFill>
              <w14:schemeClr w14:val="tx1"/>
            </w14:solidFill>
          </w14:textFill>
        </w:rPr>
        <w:t>合并</w:t>
      </w:r>
      <w:r>
        <w:rPr>
          <w:rFonts w:ascii="Times New Roman" w:hAnsi="Times New Roman" w:cs="Times New Roman" w:eastAsiaTheme="minorEastAsia"/>
          <w:color w:val="000000" w:themeColor="text1"/>
          <w14:textFill>
            <w14:solidFill>
              <w14:schemeClr w14:val="tx1"/>
            </w14:solidFill>
          </w14:textFill>
        </w:rPr>
        <w:t>高血压</w:t>
      </w:r>
      <w:r>
        <w:rPr>
          <w:rFonts w:hint="eastAsia" w:ascii="Times New Roman" w:hAnsi="Times New Roman" w:cs="Times New Roman" w:eastAsiaTheme="minorEastAsia"/>
          <w:color w:val="000000" w:themeColor="text1"/>
          <w14:textFill>
            <w14:solidFill>
              <w14:schemeClr w14:val="tx1"/>
            </w14:solidFill>
          </w14:textFill>
        </w:rPr>
        <w:t>的</w:t>
      </w:r>
      <w:r>
        <w:rPr>
          <w:color w:val="000000" w:themeColor="text1"/>
          <w14:textFill>
            <w14:solidFill>
              <w14:schemeClr w14:val="tx1"/>
            </w14:solidFill>
          </w14:textFill>
        </w:rPr>
        <w:t>稳定性冠心病</w:t>
      </w:r>
      <w:r>
        <w:rPr>
          <w:rFonts w:hint="eastAsia"/>
          <w:color w:val="000000" w:themeColor="text1"/>
          <w14:textFill>
            <w14:solidFill>
              <w14:schemeClr w14:val="tx1"/>
            </w14:solidFill>
          </w14:textFill>
        </w:rPr>
        <w:t>（SCAD）</w:t>
      </w:r>
      <w:r>
        <w:rPr>
          <w:color w:val="000000" w:themeColor="text1"/>
          <w14:textFill>
            <w14:solidFill>
              <w14:schemeClr w14:val="tx1"/>
            </w14:solidFill>
          </w14:textFill>
        </w:rPr>
        <w:t>患者，推荐的降压目标为＜140/90 mmHg，如能耐受，可降至＜130/80 mmHg。降压药物应首选</w:t>
      </w:r>
      <w:r>
        <w:rPr>
          <w:i/>
          <w:iCs/>
          <w:color w:val="000000" w:themeColor="text1"/>
          <w14:textFill>
            <w14:solidFill>
              <w14:schemeClr w14:val="tx1"/>
            </w14:solidFill>
          </w14:textFill>
        </w:rPr>
        <w:t>β</w:t>
      </w:r>
      <w:r>
        <w:rPr>
          <w:color w:val="000000" w:themeColor="text1"/>
          <w14:textFill>
            <w14:solidFill>
              <w14:schemeClr w14:val="tx1"/>
            </w14:solidFill>
          </w14:textFill>
        </w:rPr>
        <w:t>受体阻滞剂或CCB，如合并陈旧性心肌梗死、左室收缩功能障碍者，首选ACEI和</w:t>
      </w:r>
      <w:r>
        <w:rPr>
          <w:i/>
          <w:iCs/>
          <w:color w:val="000000" w:themeColor="text1"/>
          <w14:textFill>
            <w14:solidFill>
              <w14:schemeClr w14:val="tx1"/>
            </w14:solidFill>
          </w14:textFill>
        </w:rPr>
        <w:t>β</w:t>
      </w:r>
      <w:r>
        <w:rPr>
          <w:color w:val="000000" w:themeColor="text1"/>
          <w14:textFill>
            <w14:solidFill>
              <w14:schemeClr w14:val="tx1"/>
            </w14:solidFill>
          </w14:textFill>
        </w:rPr>
        <w:t>受体阻滞剂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对于</w:t>
      </w:r>
      <w:r>
        <w:rPr>
          <w:rFonts w:hint="eastAsia"/>
          <w:color w:val="000000" w:themeColor="text1"/>
          <w14:textFill>
            <w14:solidFill>
              <w14:schemeClr w14:val="tx1"/>
            </w14:solidFill>
          </w14:textFill>
        </w:rPr>
        <w:t>合并</w:t>
      </w:r>
      <w:r>
        <w:rPr>
          <w:rFonts w:ascii="Times New Roman" w:hAnsi="Times New Roman" w:cs="Times New Roman" w:eastAsiaTheme="minorEastAsia"/>
          <w:color w:val="000000" w:themeColor="text1"/>
          <w14:textFill>
            <w14:solidFill>
              <w14:schemeClr w14:val="tx1"/>
            </w14:solidFill>
          </w14:textFill>
        </w:rPr>
        <w:t>高血压</w:t>
      </w:r>
      <w:r>
        <w:rPr>
          <w:rFonts w:hint="eastAsia" w:ascii="Times New Roman" w:hAnsi="Times New Roman" w:cs="Times New Roman" w:eastAsiaTheme="minorEastAsia"/>
          <w:color w:val="000000" w:themeColor="text1"/>
          <w14:textFill>
            <w14:solidFill>
              <w14:schemeClr w14:val="tx1"/>
            </w14:solidFill>
          </w14:textFill>
        </w:rPr>
        <w:t>的急性冠脉综合征（</w:t>
      </w:r>
      <w:r>
        <w:rPr>
          <w:color w:val="000000" w:themeColor="text1"/>
          <w14:textFill>
            <w14:solidFill>
              <w14:schemeClr w14:val="tx1"/>
            </w14:solidFill>
          </w14:textFill>
        </w:rPr>
        <w:t>ACS</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患者，急性期推荐的降压目标为＜140/90 mmHg，稳定期推荐的降压目标为＜130/80 mmHg，应注意</w:t>
      </w:r>
      <w:r>
        <w:rPr>
          <w:rFonts w:hint="eastAsia"/>
          <w:color w:val="000000" w:themeColor="text1"/>
          <w14:textFill>
            <w14:solidFill>
              <w14:schemeClr w14:val="tx1"/>
            </w14:solidFill>
          </w14:textFill>
        </w:rPr>
        <w:t>舒张压</w:t>
      </w:r>
      <w:r>
        <w:rPr>
          <w:color w:val="000000" w:themeColor="text1"/>
          <w14:textFill>
            <w14:solidFill>
              <w14:schemeClr w14:val="tx1"/>
            </w14:solidFill>
          </w14:textFill>
        </w:rPr>
        <w:t>不宜降得过低。降压药物应首选</w:t>
      </w:r>
      <w:r>
        <w:rPr>
          <w:i/>
          <w:iCs/>
          <w:color w:val="000000" w:themeColor="text1"/>
          <w14:textFill>
            <w14:solidFill>
              <w14:schemeClr w14:val="tx1"/>
            </w14:solidFill>
          </w14:textFill>
        </w:rPr>
        <w:t>β</w:t>
      </w:r>
      <w:r>
        <w:rPr>
          <w:color w:val="000000" w:themeColor="text1"/>
          <w14:textFill>
            <w14:solidFill>
              <w14:schemeClr w14:val="tx1"/>
            </w14:solidFill>
          </w14:textFill>
        </w:rPr>
        <w:t>受体阻滞剂或ACEI/ARB。</w:t>
      </w:r>
      <w:r>
        <w:rPr>
          <w:rFonts w:hint="eastAsia"/>
          <w:color w:val="000000" w:themeColor="text1"/>
          <w14:textFill>
            <w14:solidFill>
              <w14:schemeClr w14:val="tx1"/>
            </w14:solidFill>
          </w14:textFill>
        </w:rPr>
        <w:t>用药期间应密切监护血压及肾功能变化。</w:t>
      </w:r>
    </w:p>
    <w:p w14:paraId="26C88D3E">
      <w:pPr>
        <w:pStyle w:val="5"/>
        <w:rPr>
          <w:rFonts w:cs="Times New Roman" w:eastAsiaTheme="minorEastAsia"/>
          <w:color w:val="000000" w:themeColor="text1"/>
          <w14:textFill>
            <w14:solidFill>
              <w14:schemeClr w14:val="tx1"/>
            </w14:solidFill>
          </w14:textFill>
        </w:rPr>
      </w:pPr>
      <w:r>
        <w:rPr>
          <w:color w:val="000000" w:themeColor="text1"/>
          <w14:textFill>
            <w14:solidFill>
              <w14:schemeClr w14:val="tx1"/>
            </w14:solidFill>
          </w14:textFill>
        </w:rPr>
        <w:t>5.4.4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冠心病合并</w:t>
      </w:r>
      <w:r>
        <w:rPr>
          <w:rFonts w:hint="eastAsia" w:cs="Times New Roman" w:eastAsiaTheme="minorEastAsia"/>
          <w:color w:val="000000" w:themeColor="text1"/>
          <w14:textFill>
            <w14:solidFill>
              <w14:schemeClr w14:val="tx1"/>
            </w14:solidFill>
          </w14:textFill>
        </w:rPr>
        <w:t>糖尿病患者</w:t>
      </w:r>
    </w:p>
    <w:p w14:paraId="76DF4036">
      <w:pPr>
        <w:ind w:firstLine="420"/>
        <w:rPr>
          <w:color w:val="000000" w:themeColor="text1"/>
          <w14:textFill>
            <w14:solidFill>
              <w14:schemeClr w14:val="tx1"/>
            </w14:solidFill>
          </w14:textFill>
        </w:rPr>
      </w:pPr>
      <w:r>
        <w:rPr>
          <w:color w:val="000000" w:themeColor="text1"/>
          <w14:textFill>
            <w14:solidFill>
              <w14:schemeClr w14:val="tx1"/>
            </w14:solidFill>
          </w14:textFill>
        </w:rPr>
        <w:t>建议大多数合并2型糖尿病</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冠心病患者HbA1c的控制目标为＜7%，但应遵循个体化原则。一般情况下，年龄较轻、病程较短、预期寿命较长的2型糖尿病患者应采取更严格的HbA1c控制目标（如＜6.5%）。年龄较大、病程较长、有严重低血糖史、预期寿命较短的患者可采取相对宽松的HbA1c控制目标（可放宽至＜8.5%）。对于</w:t>
      </w:r>
      <w:r>
        <w:rPr>
          <w:rFonts w:hint="eastAsia"/>
          <w:color w:val="000000" w:themeColor="text1"/>
          <w14:textFill>
            <w14:solidFill>
              <w14:schemeClr w14:val="tx1"/>
            </w14:solidFill>
          </w14:textFill>
        </w:rPr>
        <w:t>SCAD</w:t>
      </w:r>
      <w:r>
        <w:rPr>
          <w:color w:val="000000" w:themeColor="text1"/>
          <w14:textFill>
            <w14:solidFill>
              <w14:schemeClr w14:val="tx1"/>
            </w14:solidFill>
          </w14:textFill>
        </w:rPr>
        <w:t>合并2型糖尿病患者，不论其HbA1c是否达标，若无禁忌证，应启动具有明确心血管获益的GLP-1RA和（或）SGLT2i治疗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对于合并2型糖尿病</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ACS患者如临床状况比较稳定且无使用药物的禁忌证，入院后可考虑继续应用既往使用的口服降糖药物或GLP-1RA，其他情况建议以皮下注射胰岛素为主。</w:t>
      </w:r>
      <w:r>
        <w:rPr>
          <w:rFonts w:hint="eastAsia"/>
          <w:color w:val="000000" w:themeColor="text1"/>
          <w14:textFill>
            <w14:solidFill>
              <w14:schemeClr w14:val="tx1"/>
            </w14:solidFill>
          </w14:textFill>
        </w:rPr>
        <w:t>建议GLP-1RA从小剂量起始，逐渐增加剂量到耐受范围，并关注患者胃肠道相关的不良反应，用药期间应密切监护血糖及</w:t>
      </w:r>
      <w:r>
        <w:rPr>
          <w:color w:val="000000" w:themeColor="text1"/>
          <w14:textFill>
            <w14:solidFill>
              <w14:schemeClr w14:val="tx1"/>
            </w14:solidFill>
          </w14:textFill>
        </w:rPr>
        <w:t>HbA1c</w:t>
      </w:r>
      <w:r>
        <w:rPr>
          <w:rFonts w:hint="eastAsia"/>
          <w:color w:val="000000" w:themeColor="text1"/>
          <w14:textFill>
            <w14:solidFill>
              <w14:schemeClr w14:val="tx1"/>
            </w14:solidFill>
          </w14:textFill>
        </w:rPr>
        <w:t>变化。</w:t>
      </w:r>
    </w:p>
    <w:p w14:paraId="6DAF5CC3">
      <w:pPr>
        <w:pStyle w:val="5"/>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5.4.4.4 冠心病合并</w:t>
      </w:r>
      <w:r>
        <w:rPr>
          <w:rFonts w:cs="Times New Roman" w:eastAsiaTheme="minorEastAsia"/>
          <w:color w:val="000000" w:themeColor="text1"/>
          <w14:textFill>
            <w14:solidFill>
              <w14:schemeClr w14:val="tx1"/>
            </w14:solidFill>
          </w14:textFill>
        </w:rPr>
        <w:t>心房颤动</w:t>
      </w:r>
      <w:r>
        <w:rPr>
          <w:rFonts w:hint="eastAsia" w:cs="Times New Roman" w:eastAsiaTheme="minorEastAsia"/>
          <w:color w:val="000000" w:themeColor="text1"/>
          <w14:textFill>
            <w14:solidFill>
              <w14:schemeClr w14:val="tx1"/>
            </w14:solidFill>
          </w14:textFill>
        </w:rPr>
        <w:t>患者</w:t>
      </w:r>
    </w:p>
    <w:p w14:paraId="7B869C7F">
      <w:pPr>
        <w:ind w:firstLine="420"/>
        <w:rPr>
          <w:color w:val="000000" w:themeColor="text1"/>
          <w14:textFill>
            <w14:solidFill>
              <w14:schemeClr w14:val="tx1"/>
            </w14:solidFill>
          </w14:textFill>
        </w:rPr>
      </w:pPr>
      <w:r>
        <w:rPr>
          <w:color w:val="000000" w:themeColor="text1"/>
          <w14:textFill>
            <w14:solidFill>
              <w14:schemeClr w14:val="tx1"/>
            </w14:solidFill>
          </w14:textFill>
        </w:rPr>
        <w:t>推荐对所有非瓣膜性房颤患者采用CHA</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DS</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-VASc评分进行血栓栓塞风险评估，采用HAS-BLED评分进行出血风险评估。NOAC治疗的患者通常无需常规监测凝血功能。使用维生素K拮抗剂（VKA）的患者，应定期监测患者国际标准化比值（</w:t>
      </w:r>
      <w:r>
        <w:rPr>
          <w:rFonts w:hint="eastAsia"/>
          <w:color w:val="000000" w:themeColor="text1"/>
          <w14:textFill>
            <w14:solidFill>
              <w14:schemeClr w14:val="tx1"/>
            </w14:solidFill>
          </w14:textFill>
        </w:rPr>
        <w:t>I</w:t>
      </w:r>
      <w:r>
        <w:rPr>
          <w:color w:val="000000" w:themeColor="text1"/>
          <w14:textFill>
            <w14:solidFill>
              <w14:schemeClr w14:val="tx1"/>
            </w14:solidFill>
          </w14:textFill>
        </w:rPr>
        <w:t xml:space="preserve">nternational </w:t>
      </w:r>
      <w:r>
        <w:rPr>
          <w:rFonts w:hint="eastAsia"/>
          <w:color w:val="000000" w:themeColor="text1"/>
          <w14:textFill>
            <w14:solidFill>
              <w14:schemeClr w14:val="tx1"/>
            </w14:solidFill>
          </w14:textFill>
        </w:rPr>
        <w:t>N</w:t>
      </w:r>
      <w:r>
        <w:rPr>
          <w:color w:val="000000" w:themeColor="text1"/>
          <w14:textFill>
            <w14:solidFill>
              <w14:schemeClr w14:val="tx1"/>
            </w14:solidFill>
          </w14:textFill>
        </w:rPr>
        <w:t xml:space="preserve">ormalized </w:t>
      </w:r>
      <w:r>
        <w:rPr>
          <w:rFonts w:hint="eastAsia"/>
          <w:color w:val="000000" w:themeColor="text1"/>
          <w14:textFill>
            <w14:solidFill>
              <w14:schemeClr w14:val="tx1"/>
            </w14:solidFill>
          </w14:textFill>
        </w:rPr>
        <w:t>R</w:t>
      </w:r>
      <w:r>
        <w:rPr>
          <w:color w:val="000000" w:themeColor="text1"/>
          <w14:textFill>
            <w14:solidFill>
              <w14:schemeClr w14:val="tx1"/>
            </w14:solidFill>
          </w14:textFill>
        </w:rPr>
        <w:t>atio，INR）水平是否达标（其目标值在联合抗栓时为2.0～2.5，单药治疗时为2.0～3.0，治疗目标范围内时间＞70%）。</w:t>
      </w:r>
      <w:r>
        <w:rPr>
          <w:rFonts w:hint="eastAsia"/>
          <w:color w:val="000000" w:themeColor="text1"/>
          <w14:textFill>
            <w14:solidFill>
              <w14:schemeClr w14:val="tx1"/>
            </w14:solidFill>
          </w14:textFill>
        </w:rPr>
        <w:t>心房颤动患者的初始心室率控制目标可设定为静息心率＜100次/min，若患者症状持续，可考虑进行严格的心室率控制，即静息心率＜80次/min。患者用药期间应密切监护心率变化及出血症状。</w:t>
      </w:r>
    </w:p>
    <w:p w14:paraId="762EB77C">
      <w:pPr>
        <w:pStyle w:val="5"/>
        <w:rPr>
          <w:rFonts w:cs="Times New Roman" w:eastAsiaTheme="minorEastAsia"/>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 xml:space="preserve">5.4.4.5 </w:t>
      </w:r>
      <w:r>
        <w:rPr>
          <w:rFonts w:hint="eastAsia"/>
          <w:color w:val="000000" w:themeColor="text1"/>
          <w14:textFill>
            <w14:solidFill>
              <w14:schemeClr w14:val="tx1"/>
            </w14:solidFill>
          </w14:textFill>
        </w:rPr>
        <w:t>冠心病合并</w:t>
      </w:r>
      <w:r>
        <w:rPr>
          <w:rFonts w:hint="eastAsia" w:cs="Times New Roman"/>
          <w:color w:val="000000" w:themeColor="text1"/>
          <w14:textFill>
            <w14:solidFill>
              <w14:schemeClr w14:val="tx1"/>
            </w14:solidFill>
          </w14:textFill>
        </w:rPr>
        <w:t>心力衰竭</w:t>
      </w:r>
      <w:r>
        <w:rPr>
          <w:rFonts w:hint="eastAsia" w:cs="Times New Roman" w:eastAsiaTheme="minorEastAsia"/>
          <w:color w:val="000000" w:themeColor="text1"/>
          <w14:textFill>
            <w14:solidFill>
              <w14:schemeClr w14:val="tx1"/>
            </w14:solidFill>
          </w14:textFill>
        </w:rPr>
        <w:t>患者</w:t>
      </w:r>
    </w:p>
    <w:p w14:paraId="7941F9EB">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合并心衰的冠心病患者应进行冠心病的二级预防，患者静息心率建议控制在60次/min左右。监护要点除包含对抗血小板药物和调脂药物的监护外，对于有症状的心力衰竭患者监护出入量，推荐使用利尿剂，优选袢利尿剂，同时建议加用新四联药物，包括RAAS抑制剂（如ACEI、ARB、ARNI）、</w:t>
      </w:r>
      <w:r>
        <w:rPr>
          <w:i/>
          <w:iCs/>
          <w:color w:val="000000" w:themeColor="text1"/>
          <w14:textFill>
            <w14:solidFill>
              <w14:schemeClr w14:val="tx1"/>
            </w14:solidFill>
          </w14:textFill>
        </w:rPr>
        <w:t>β</w:t>
      </w:r>
      <w:r>
        <w:rPr>
          <w:rFonts w:hint="eastAsia"/>
          <w:color w:val="000000" w:themeColor="text1"/>
          <w14:textFill>
            <w14:solidFill>
              <w14:schemeClr w14:val="tx1"/>
            </w14:solidFill>
          </w14:textFill>
        </w:rPr>
        <w:t>受体阻滞剂、醛固酮受体拮抗剂及SGLT-2抑制剂。为降低患者的</w:t>
      </w:r>
      <w:r>
        <w:rPr>
          <w:rFonts w:hint="eastAsia"/>
          <w:color w:val="000000" w:themeColor="text1"/>
          <w:lang w:bidi="ar"/>
          <w14:textFill>
            <w14:solidFill>
              <w14:schemeClr w14:val="tx1"/>
            </w14:solidFill>
          </w14:textFill>
        </w:rPr>
        <w:t>心血管死亡和心衰住院风险，对于NYHA心功能Ⅱ</w:t>
      </w:r>
      <w:r>
        <w:rPr>
          <w:rFonts w:hint="eastAsia"/>
          <w:color w:val="000000" w:themeColor="text1"/>
          <w14:textFill>
            <w14:solidFill>
              <w14:schemeClr w14:val="tx1"/>
            </w14:solidFill>
          </w14:textFill>
        </w:rPr>
        <w:t>～</w:t>
      </w:r>
      <w:r>
        <w:rPr>
          <w:rFonts w:hint="eastAsia"/>
          <w:color w:val="000000" w:themeColor="text1"/>
          <w:lang w:bidi="ar"/>
          <w14:textFill>
            <w14:solidFill>
              <w14:schemeClr w14:val="tx1"/>
            </w14:solidFill>
          </w14:textFill>
        </w:rPr>
        <w:t>Ⅳ级、LVEF＜45%的心衰患者，可考虑在</w:t>
      </w:r>
      <w:r>
        <w:rPr>
          <w:rFonts w:hint="eastAsia"/>
          <w:color w:val="000000" w:themeColor="text1"/>
          <w14:textFill>
            <w14:solidFill>
              <w14:schemeClr w14:val="tx1"/>
            </w14:solidFill>
          </w14:textFill>
        </w:rPr>
        <w:t>新四联药物</w:t>
      </w:r>
      <w:r>
        <w:rPr>
          <w:rFonts w:hint="eastAsia"/>
          <w:color w:val="000000" w:themeColor="text1"/>
          <w:lang w:bidi="ar"/>
          <w14:textFill>
            <w14:solidFill>
              <w14:schemeClr w14:val="tx1"/>
            </w14:solidFill>
          </w14:textFill>
        </w:rPr>
        <w:t>治疗基础上加用维立西呱。需要注意的是，</w:t>
      </w:r>
      <w:r>
        <w:rPr>
          <w:rFonts w:hint="eastAsia"/>
          <w:color w:val="000000" w:themeColor="text1"/>
          <w14:textFill>
            <w14:solidFill>
              <w14:schemeClr w14:val="tx1"/>
            </w14:solidFill>
          </w14:textFill>
        </w:rPr>
        <w:t>“新四联”药物应尽早启动，然后逐步滴定剂量，用药期间应密切监护血压及肾功能变化。</w:t>
      </w:r>
    </w:p>
    <w:p w14:paraId="731D9F88">
      <w:pPr>
        <w:pStyle w:val="37"/>
        <w:spacing w:before="156" w:after="156" w:line="360" w:lineRule="auto"/>
        <w:rPr>
          <w:color w:val="000000" w:themeColor="text1"/>
          <w14:textFill>
            <w14:solidFill>
              <w14:schemeClr w14:val="tx1"/>
            </w14:solidFill>
          </w14:textFill>
        </w:rPr>
      </w:pPr>
      <w:bookmarkStart w:id="117" w:name="_Toc14361"/>
      <w:bookmarkStart w:id="118" w:name="_Toc195033205"/>
      <w:bookmarkStart w:id="119" w:name="_Toc25156"/>
      <w:bookmarkStart w:id="120" w:name="_Toc195469964"/>
      <w:bookmarkStart w:id="121" w:name="_Toc190439675"/>
      <w:bookmarkStart w:id="122" w:name="_Toc19967"/>
      <w:r>
        <w:rPr>
          <w:rFonts w:hint="eastAsia"/>
          <w:color w:val="000000" w:themeColor="text1"/>
          <w14:textFill>
            <w14:solidFill>
              <w14:schemeClr w14:val="tx1"/>
            </w14:solidFill>
          </w14:textFill>
        </w:rPr>
        <w:t>5.4.5 用药经济性监护</w:t>
      </w:r>
      <w:bookmarkEnd w:id="117"/>
      <w:bookmarkEnd w:id="118"/>
      <w:bookmarkEnd w:id="119"/>
      <w:bookmarkEnd w:id="120"/>
      <w:bookmarkEnd w:id="121"/>
      <w:bookmarkEnd w:id="122"/>
    </w:p>
    <w:p w14:paraId="527E2BA7">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综合国家政策支持、</w:t>
      </w:r>
      <w:r>
        <w:rPr>
          <w:color w:val="000000" w:themeColor="text1"/>
          <w14:textFill>
            <w14:solidFill>
              <w14:schemeClr w14:val="tx1"/>
            </w14:solidFill>
          </w14:textFill>
        </w:rPr>
        <w:t>药品日治疗费用以及药物经济学</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评价指标</w:t>
      </w:r>
      <w:r>
        <w:rPr>
          <w:rFonts w:hint="eastAsia"/>
          <w:color w:val="000000" w:themeColor="text1"/>
          <w14:textFill>
            <w14:solidFill>
              <w14:schemeClr w14:val="tx1"/>
            </w14:solidFill>
          </w14:textFill>
        </w:rPr>
        <w:t>，系统评估患者的用药经济性。临床药师需动态监测住院患者的用药情况，关注其用药是否符合医保支付限制、是否为国家集中采购中标药品或国家基本药物。同时，应考虑药物成本和患者经济承受能力，避免选用昂贵且疗效不佳的药物，重点评估患者治疗方案的成本效果比，为其制定个体化的用药方案。基于患者的实际情况，适时利用药物基因检测、血药浓度监测等手段优化其用药方案，以降低药源性疾病发生率和治疗成本。</w:t>
      </w:r>
    </w:p>
    <w:p w14:paraId="4D5D7A43">
      <w:pPr>
        <w:pStyle w:val="37"/>
        <w:spacing w:before="156" w:after="156" w:line="360" w:lineRule="auto"/>
        <w:rPr>
          <w:color w:val="000000" w:themeColor="text1"/>
          <w14:textFill>
            <w14:solidFill>
              <w14:schemeClr w14:val="tx1"/>
            </w14:solidFill>
          </w14:textFill>
        </w:rPr>
      </w:pPr>
      <w:bookmarkStart w:id="123" w:name="_Toc195033206"/>
      <w:bookmarkStart w:id="124" w:name="_Toc19500"/>
      <w:bookmarkStart w:id="125" w:name="_Toc195469965"/>
      <w:bookmarkStart w:id="126" w:name="_Toc11632"/>
      <w:bookmarkStart w:id="127" w:name="_Toc7411"/>
      <w:bookmarkStart w:id="128" w:name="_Toc190439676"/>
      <w:r>
        <w:rPr>
          <w:rFonts w:hint="eastAsia"/>
          <w:color w:val="000000" w:themeColor="text1"/>
          <w14:textFill>
            <w14:solidFill>
              <w14:schemeClr w14:val="tx1"/>
            </w14:solidFill>
          </w14:textFill>
        </w:rPr>
        <w:t>5.4.6 用药依从性监护</w:t>
      </w:r>
      <w:bookmarkEnd w:id="123"/>
      <w:bookmarkEnd w:id="124"/>
      <w:bookmarkEnd w:id="125"/>
      <w:bookmarkEnd w:id="126"/>
      <w:bookmarkEnd w:id="127"/>
      <w:bookmarkEnd w:id="128"/>
    </w:p>
    <w:p w14:paraId="162838F4">
      <w:pPr>
        <w:ind w:firstLine="420"/>
        <w:rPr>
          <w:color w:val="000000" w:themeColor="text1"/>
          <w14:textFill>
            <w14:solidFill>
              <w14:schemeClr w14:val="tx1"/>
            </w14:solidFill>
          </w14:textFill>
        </w:rPr>
      </w:pPr>
      <w:r>
        <w:rPr>
          <w:color w:val="000000" w:themeColor="text1"/>
          <w14:textFill>
            <w14:solidFill>
              <w14:schemeClr w14:val="tx1"/>
            </w14:solidFill>
          </w14:textFill>
        </w:rPr>
        <w:t>通过Morisky用药依从性量表，对患者的用药依从性进行评分，关注依从性差的患者分析影响其依从性的原因。这些原因可能包括：给药方案复杂（如用药频率高、药物种类多或给药途径不方便）可能导致患者对方案的理解不足；药物因素（如药片太大、有不良气味、颜色特别以及不良反应）可能让患者产生抵触情绪，擅自减药或停药；患者因素（对医生缺乏信任、经济拮据、盲目听信他人经验、老年人记忆力减退等）自行更改用药方案；疾病因素（如治疗时间长失去耐心、病情反复等）导致依从性下降；其他因素（如疾病本身无明显症状或经过一段时间治疗后症状已改善，患者缺乏症状提醒而漏服药物）。密切关注患者的用药情况，找出患者依从性差的原因，针对性的进行用药教育，以提高患者用药依从性。</w:t>
      </w:r>
    </w:p>
    <w:p w14:paraId="201DAF9A">
      <w:pPr>
        <w:pStyle w:val="4"/>
        <w:spacing w:before="156" w:after="156"/>
      </w:pPr>
      <w:bookmarkStart w:id="129" w:name="_Toc25401"/>
      <w:bookmarkStart w:id="130" w:name="_Toc195469966"/>
      <w:bookmarkStart w:id="131" w:name="_Toc15992"/>
      <w:bookmarkStart w:id="132" w:name="_Toc2001"/>
      <w:r>
        <w:rPr>
          <w:rFonts w:hint="eastAsia"/>
        </w:rPr>
        <w:t>5.5 实施药学监护计划</w:t>
      </w:r>
      <w:bookmarkEnd w:id="129"/>
      <w:bookmarkEnd w:id="130"/>
      <w:bookmarkEnd w:id="131"/>
      <w:bookmarkEnd w:id="132"/>
    </w:p>
    <w:p w14:paraId="2DE65AF2">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药师通过</w:t>
      </w:r>
      <w:r>
        <w:rPr>
          <w:color w:val="000000" w:themeColor="text1"/>
          <w14:textFill>
            <w14:solidFill>
              <w14:schemeClr w14:val="tx1"/>
            </w14:solidFill>
          </w14:textFill>
        </w:rPr>
        <w:t>药学查房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用药教育</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不良反应主动监测与处置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基因检测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血药浓度监测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药学会诊</w:t>
      </w:r>
      <w:r>
        <w:rPr>
          <w:rFonts w:hint="eastAsia"/>
          <w:color w:val="000000" w:themeColor="text1"/>
          <w14:textFill>
            <w14:solidFill>
              <w14:schemeClr w14:val="tx1"/>
            </w14:solidFill>
          </w14:textFill>
        </w:rPr>
        <w:t>、药学病例讨论、多学科联合诊疗等形式，实施药学监护计划。</w:t>
      </w:r>
    </w:p>
    <w:p w14:paraId="793BD1FF">
      <w:pPr>
        <w:pStyle w:val="4"/>
        <w:spacing w:before="156" w:after="156"/>
      </w:pPr>
      <w:bookmarkStart w:id="133" w:name="_Toc195469967"/>
      <w:bookmarkStart w:id="134" w:name="_Toc6262"/>
      <w:bookmarkStart w:id="135" w:name="_Toc16037"/>
      <w:bookmarkStart w:id="136" w:name="_Toc884"/>
      <w:r>
        <w:rPr>
          <w:rFonts w:hint="eastAsia"/>
        </w:rPr>
        <w:t>5</w:t>
      </w:r>
      <w:r>
        <w:t>.</w:t>
      </w:r>
      <w:r>
        <w:rPr>
          <w:rFonts w:hint="eastAsia"/>
        </w:rPr>
        <w:t xml:space="preserve">6 </w:t>
      </w:r>
      <w:r>
        <w:t>药物治疗方案</w:t>
      </w:r>
      <w:r>
        <w:rPr>
          <w:rFonts w:hint="eastAsia"/>
        </w:rPr>
        <w:t>调整</w:t>
      </w:r>
      <w:bookmarkEnd w:id="133"/>
      <w:bookmarkEnd w:id="134"/>
      <w:bookmarkEnd w:id="135"/>
      <w:bookmarkEnd w:id="136"/>
    </w:p>
    <w:p w14:paraId="06F42CE9">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rFonts w:hint="eastAsia" w:eastAsiaTheme="minorEastAsia"/>
          <w:color w:val="000000" w:themeColor="text1"/>
          <w14:textFill>
            <w14:solidFill>
              <w14:schemeClr w14:val="tx1"/>
            </w14:solidFill>
          </w14:textFill>
        </w:rPr>
        <w:t>患者</w:t>
      </w:r>
      <w:r>
        <w:rPr>
          <w:rFonts w:hint="eastAsia"/>
          <w:color w:val="000000" w:themeColor="text1"/>
          <w14:textFill>
            <w14:solidFill>
              <w14:schemeClr w14:val="tx1"/>
            </w14:solidFill>
          </w14:textFill>
        </w:rPr>
        <w:t>的发病情况不同，将冠心病分为SCAD和ACS，其中ACS又分为ST段抬高型心肌梗死（STEMI）、非ST段抬高型心肌梗死（NSTEM）和不稳定型心绞痛（UA），NSTEMI和UA合称为非ST段抬高的ACS（NSTE-ACS）。</w:t>
      </w:r>
    </w:p>
    <w:p w14:paraId="606B9121">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SCAD患者用于改善预后和缓解症状的药物包括抗血小板类药物、他汀类药物、硝酸酯类药物、</w:t>
      </w:r>
      <w:r>
        <w:rPr>
          <w:rFonts w:ascii="Times New Roman" w:hAnsi="Times New Roman" w:cs="Times New Roman"/>
          <w:i/>
          <w:iCs/>
          <w:color w:val="000000" w:themeColor="text1"/>
          <w14:textFill>
            <w14:solidFill>
              <w14:schemeClr w14:val="tx1"/>
            </w14:solidFill>
          </w14:textFill>
        </w:rPr>
        <w:t>β</w:t>
      </w:r>
      <w:r>
        <w:rPr>
          <w:rFonts w:hint="eastAsia"/>
          <w:color w:val="000000" w:themeColor="text1"/>
          <w14:textFill>
            <w14:solidFill>
              <w14:schemeClr w14:val="tx1"/>
            </w14:solidFill>
          </w14:textFill>
        </w:rPr>
        <w:t>受体阻滞剂、CCB类药物、ACEI/ARB类药物及其他药物等。ACS患者在以上用药基础上，可进行溶栓治疗或抗凝治疗。根据冠心病的不同分类，其相关药物治疗及用法用量详见</w:t>
      </w:r>
      <w:r>
        <w:rPr>
          <w:rFonts w:hint="eastAsia"/>
          <w:color w:val="000000" w:themeColor="text1"/>
          <w:szCs w:val="21"/>
          <w14:textFill>
            <w14:solidFill>
              <w14:schemeClr w14:val="tx1"/>
            </w14:solidFill>
          </w14:textFill>
        </w:rPr>
        <w:t>附录F，</w:t>
      </w:r>
      <w:r>
        <w:rPr>
          <w:rFonts w:hint="eastAsia"/>
          <w:color w:val="000000" w:themeColor="text1"/>
          <w14:textFill>
            <w14:solidFill>
              <w14:schemeClr w14:val="tx1"/>
            </w14:solidFill>
          </w14:textFill>
        </w:rPr>
        <w:t>若患者出现</w:t>
      </w:r>
      <w:r>
        <w:rPr>
          <w:color w:val="000000" w:themeColor="text1"/>
          <w14:textFill>
            <w14:solidFill>
              <w14:schemeClr w14:val="tx1"/>
            </w14:solidFill>
          </w14:textFill>
        </w:rPr>
        <w:t>肝肾功能</w:t>
      </w:r>
      <w:r>
        <w:rPr>
          <w:rFonts w:hint="eastAsia"/>
          <w:color w:val="000000" w:themeColor="text1"/>
          <w14:textFill>
            <w14:solidFill>
              <w14:schemeClr w14:val="tx1"/>
            </w14:solidFill>
          </w14:textFill>
        </w:rPr>
        <w:t>不全，也可依据此表进行相应剂量调整。</w:t>
      </w:r>
    </w:p>
    <w:p w14:paraId="19AB7875">
      <w:pPr>
        <w:pStyle w:val="4"/>
        <w:spacing w:before="156" w:after="156"/>
      </w:pPr>
      <w:bookmarkStart w:id="137" w:name="_Toc20738"/>
      <w:bookmarkStart w:id="138" w:name="_Toc10620"/>
      <w:bookmarkStart w:id="139" w:name="_Toc195469968"/>
      <w:bookmarkStart w:id="140" w:name="_Toc1938"/>
      <w:r>
        <w:rPr>
          <w:rFonts w:hint="eastAsia"/>
        </w:rPr>
        <w:t>5.7 用药教育</w:t>
      </w:r>
      <w:bookmarkEnd w:id="137"/>
      <w:bookmarkEnd w:id="138"/>
      <w:bookmarkEnd w:id="139"/>
      <w:bookmarkEnd w:id="140"/>
      <w:bookmarkStart w:id="141" w:name="_Toc988"/>
      <w:bookmarkStart w:id="142" w:name="_Toc29384"/>
      <w:bookmarkStart w:id="143" w:name="_Toc20122"/>
    </w:p>
    <w:p w14:paraId="6238CF55">
      <w:pPr>
        <w:pStyle w:val="37"/>
        <w:spacing w:before="156" w:after="156"/>
        <w:rPr>
          <w:color w:val="000000" w:themeColor="text1"/>
          <w14:textFill>
            <w14:solidFill>
              <w14:schemeClr w14:val="tx1"/>
            </w14:solidFill>
          </w14:textFill>
        </w:rPr>
      </w:pPr>
      <w:bookmarkStart w:id="144" w:name="_Toc19964"/>
      <w:bookmarkStart w:id="145" w:name="_Toc18808"/>
      <w:bookmarkStart w:id="146" w:name="_Toc6955"/>
      <w:bookmarkStart w:id="147" w:name="_Toc195033210"/>
      <w:bookmarkStart w:id="148" w:name="_Toc195469969"/>
      <w:bookmarkStart w:id="149" w:name="_Toc190439682"/>
      <w:r>
        <w:rPr>
          <w:rFonts w:hint="eastAsia"/>
          <w:color w:val="000000" w:themeColor="text1"/>
          <w14:textFill>
            <w14:solidFill>
              <w14:schemeClr w14:val="tx1"/>
            </w14:solidFill>
          </w14:textFill>
        </w:rPr>
        <w:t>5.7.1 疾病相关教育</w:t>
      </w:r>
      <w:bookmarkEnd w:id="144"/>
      <w:bookmarkEnd w:id="145"/>
      <w:bookmarkEnd w:id="146"/>
      <w:bookmarkEnd w:id="147"/>
      <w:bookmarkEnd w:id="148"/>
    </w:p>
    <w:p w14:paraId="3876DDE0">
      <w:pPr>
        <w:spacing w:before="156" w:after="156"/>
        <w:ind w:firstLine="420"/>
        <w:rPr>
          <w:rFonts w:hint="eastAsia"/>
          <w:bCs w:val="0"/>
          <w:color w:val="000000" w:themeColor="text1"/>
          <w14:textFill>
            <w14:solidFill>
              <w14:schemeClr w14:val="tx1"/>
            </w14:solidFill>
          </w14:textFill>
        </w:rPr>
      </w:pPr>
      <w:r>
        <w:rPr>
          <w:rFonts w:hint="eastAsia"/>
          <w:color w:val="000000" w:themeColor="text1"/>
          <w14:textFill>
            <w14:solidFill>
              <w14:schemeClr w14:val="tx1"/>
            </w14:solidFill>
          </w14:textFill>
        </w:rPr>
        <w:t>临床药师应对患者及其家属</w:t>
      </w:r>
      <w:r>
        <w:rPr>
          <w:rFonts w:hint="eastAsia"/>
          <w:color w:val="000000" w:themeColor="text1"/>
          <w:lang w:val="en-US" w:eastAsia="zh-CN"/>
          <w14:textFill>
            <w14:solidFill>
              <w14:schemeClr w14:val="tx1"/>
            </w14:solidFill>
          </w14:textFill>
        </w:rPr>
        <w:t>就</w:t>
      </w:r>
      <w:r>
        <w:rPr>
          <w:rFonts w:hint="eastAsia"/>
          <w:color w:val="000000" w:themeColor="text1"/>
          <w14:textFill>
            <w14:solidFill>
              <w14:schemeClr w14:val="tx1"/>
            </w14:solidFill>
          </w14:textFill>
        </w:rPr>
        <w:t>对冠心病的分型、临床表现、病因、诱因、治疗方法、合并症的诊治和管理等内容教育指导。</w:t>
      </w:r>
    </w:p>
    <w:p w14:paraId="432AA6BA">
      <w:pPr>
        <w:pStyle w:val="37"/>
        <w:spacing w:before="156" w:after="156"/>
        <w:rPr>
          <w:color w:val="000000" w:themeColor="text1"/>
          <w14:textFill>
            <w14:solidFill>
              <w14:schemeClr w14:val="tx1"/>
            </w14:solidFill>
          </w14:textFill>
        </w:rPr>
      </w:pPr>
      <w:bookmarkStart w:id="150" w:name="_Toc195033211"/>
      <w:bookmarkStart w:id="151" w:name="_Toc23693"/>
      <w:bookmarkStart w:id="152" w:name="_Toc16095"/>
      <w:bookmarkStart w:id="153" w:name="_Toc19237"/>
      <w:bookmarkStart w:id="154" w:name="_Toc195469970"/>
      <w:r>
        <w:rPr>
          <w:rFonts w:hint="eastAsia"/>
          <w:bCs/>
          <w:color w:val="000000" w:themeColor="text1"/>
          <w14:textFill>
            <w14:solidFill>
              <w14:schemeClr w14:val="tx1"/>
            </w14:solidFill>
          </w14:textFill>
        </w:rPr>
        <w:t>5.7</w:t>
      </w:r>
      <w:r>
        <w:rPr>
          <w:rFonts w:hint="eastAsia"/>
          <w:color w:val="000000" w:themeColor="text1"/>
          <w14:textFill>
            <w14:solidFill>
              <w14:schemeClr w14:val="tx1"/>
            </w14:solidFill>
          </w14:textFill>
        </w:rPr>
        <w:t xml:space="preserve">.2 </w:t>
      </w:r>
      <w:bookmarkEnd w:id="141"/>
      <w:bookmarkEnd w:id="142"/>
      <w:bookmarkEnd w:id="143"/>
      <w:bookmarkStart w:id="155" w:name="_Toc24974"/>
      <w:bookmarkStart w:id="156" w:name="_Toc29318"/>
      <w:r>
        <w:rPr>
          <w:rFonts w:hint="eastAsia"/>
          <w:color w:val="000000" w:themeColor="text1"/>
          <w14:textFill>
            <w14:solidFill>
              <w14:schemeClr w14:val="tx1"/>
            </w14:solidFill>
          </w14:textFill>
        </w:rPr>
        <w:t>治疗药物教育</w:t>
      </w:r>
      <w:bookmarkEnd w:id="149"/>
      <w:bookmarkEnd w:id="150"/>
      <w:bookmarkEnd w:id="151"/>
      <w:bookmarkEnd w:id="152"/>
      <w:bookmarkEnd w:id="153"/>
      <w:bookmarkEnd w:id="154"/>
      <w:bookmarkEnd w:id="155"/>
      <w:bookmarkEnd w:id="156"/>
    </w:p>
    <w:p w14:paraId="564B0AEE">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药师应详细讲解药名、剂量、时间、频次、用药目的、不良反应和注意事项等，出院前应了解患者对目前服用药物的熟悉程度，并填写用药教育表，见附录G。</w:t>
      </w:r>
    </w:p>
    <w:p w14:paraId="17EF32BE">
      <w:pPr>
        <w:ind w:firstLine="420"/>
        <w:rPr>
          <w:b/>
          <w:bCs/>
          <w:color w:val="000000" w:themeColor="text1"/>
          <w14:textFill>
            <w14:solidFill>
              <w14:schemeClr w14:val="tx1"/>
            </w14:solidFill>
          </w14:textFill>
        </w:rPr>
      </w:pPr>
      <w:bookmarkStart w:id="157" w:name="_Toc26887"/>
      <w:bookmarkStart w:id="158" w:name="_Toc12998"/>
      <w:r>
        <w:rPr>
          <w:color w:val="000000" w:themeColor="text1"/>
          <w14:textFill>
            <w14:solidFill>
              <w14:schemeClr w14:val="tx1"/>
            </w14:solidFill>
          </w14:textFill>
        </w:rPr>
        <w:t>冠心病患者常用口服药物的用药教育如下：</w:t>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t>抗血小板药物在服用期间易发生出血现象，提醒患者应注意是否有皮下出血点、牙龈出血、黑便、血尿等现象，建议患者在服用药物期间使用软毛牙刷刷牙</w:t>
      </w:r>
      <w:r>
        <w:rPr>
          <w:rFonts w:hint="eastAsia"/>
          <w:color w:val="000000" w:themeColor="text1"/>
          <w14:textFill>
            <w14:solidFill>
              <w14:schemeClr w14:val="tx1"/>
            </w14:solidFill>
          </w14:textFill>
        </w:rPr>
        <w:t>；②</w:t>
      </w:r>
      <w:r>
        <w:rPr>
          <w:i/>
          <w:iCs/>
          <w:color w:val="000000" w:themeColor="text1"/>
          <w:kern w:val="0"/>
          <w:lang w:bidi="ar"/>
          <w14:textFill>
            <w14:solidFill>
              <w14:schemeClr w14:val="tx1"/>
            </w14:solidFill>
          </w14:textFill>
        </w:rPr>
        <w:t>β</w:t>
      </w:r>
      <w:r>
        <w:rPr>
          <w:color w:val="000000" w:themeColor="text1"/>
          <w14:textFill>
            <w14:solidFill>
              <w14:schemeClr w14:val="tx1"/>
            </w14:solidFill>
          </w14:textFill>
        </w:rPr>
        <w:t>受体阻滞剂用药期间不可自行停药，突然停药可导致心率和血压快速上升，停药需在医生指导下缓慢进行</w:t>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t>硝酸酯类药物进行初始治疗时可能会发生头痛，这是该类药物最常见的不良反应，大部分患者通常治疗1～2周后头痛可自行消失，另外，口服给药应确保8～12小时无药期</w:t>
      </w:r>
      <w:r>
        <w:rPr>
          <w:rFonts w:hint="eastAsia"/>
          <w:color w:val="000000" w:themeColor="text1"/>
          <w14:textFill>
            <w14:solidFill>
              <w14:schemeClr w14:val="tx1"/>
            </w14:solidFill>
          </w14:textFill>
        </w:rPr>
        <w:t>；④</w:t>
      </w:r>
      <w:r>
        <w:rPr>
          <w:color w:val="000000" w:themeColor="text1"/>
          <w14:textFill>
            <w14:solidFill>
              <w14:schemeClr w14:val="tx1"/>
            </w14:solidFill>
          </w14:textFill>
        </w:rPr>
        <w:t>CCB类药物</w:t>
      </w:r>
      <w:r>
        <w:rPr>
          <w:rFonts w:hint="eastAsia"/>
          <w:color w:val="000000" w:themeColor="text1"/>
          <w14:textFill>
            <w14:solidFill>
              <w14:schemeClr w14:val="tx1"/>
            </w14:solidFill>
          </w14:textFill>
        </w:rPr>
        <w:t>中二氢吡啶类药物</w:t>
      </w:r>
      <w:r>
        <w:rPr>
          <w:color w:val="000000" w:themeColor="text1"/>
          <w14:textFill>
            <w14:solidFill>
              <w14:schemeClr w14:val="tx1"/>
            </w14:solidFill>
          </w14:textFill>
        </w:rPr>
        <w:t>常见的不良反应包括反射性交感神经激活导致心跳加快、面部潮红、脚踝部水肿、牙龈增生等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患者服用该药发生水肿时，若水肿程度不重，可以继续用药，抬高下肢可缓解水肿</w:t>
      </w:r>
      <w:r>
        <w:rPr>
          <w:rFonts w:hint="eastAsia"/>
          <w:color w:val="000000" w:themeColor="text1"/>
          <w14:textFill>
            <w14:solidFill>
              <w14:schemeClr w14:val="tx1"/>
            </w14:solidFill>
          </w14:textFill>
        </w:rPr>
        <w:t>；⑤</w:t>
      </w:r>
      <w:r>
        <w:rPr>
          <w:color w:val="000000" w:themeColor="text1"/>
          <w14:textFill>
            <w14:solidFill>
              <w14:schemeClr w14:val="tx1"/>
            </w14:solidFill>
          </w14:textFill>
        </w:rPr>
        <w:t>他汀类药物常见的不良反应有肝毒性、肌毒性、新发糖尿病的风险等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在应用他汀类药物时，应定期复查转氨酶及肌酸激酶等生化指标，以便及时发现药物可能引起的肝脏损害和肌病等不良反应</w:t>
      </w:r>
      <w:r>
        <w:rPr>
          <w:rFonts w:hint="eastAsia"/>
          <w:color w:val="000000" w:themeColor="text1"/>
          <w14:textFill>
            <w14:solidFill>
              <w14:schemeClr w14:val="tx1"/>
            </w14:solidFill>
          </w14:textFill>
        </w:rPr>
        <w:t>；⑥</w:t>
      </w:r>
      <w:r>
        <w:rPr>
          <w:color w:val="000000" w:themeColor="text1"/>
          <w14:textFill>
            <w14:solidFill>
              <w14:schemeClr w14:val="tx1"/>
            </w14:solidFill>
          </w14:textFill>
        </w:rPr>
        <w:t>ACEI类药物常见的不良反应为干咳，患者一般可耐受，若不可耐受，可更换为ARB</w:t>
      </w:r>
      <w:r>
        <w:rPr>
          <w:rFonts w:hint="eastAsia"/>
          <w:color w:val="000000" w:themeColor="text1"/>
          <w14:textFill>
            <w14:solidFill>
              <w14:schemeClr w14:val="tx1"/>
            </w14:solidFill>
          </w14:textFill>
        </w:rPr>
        <w:t>/ARNI</w:t>
      </w:r>
      <w:r>
        <w:rPr>
          <w:color w:val="000000" w:themeColor="text1"/>
          <w14:textFill>
            <w14:solidFill>
              <w14:schemeClr w14:val="tx1"/>
            </w14:solidFill>
          </w14:textFill>
        </w:rPr>
        <w:t>类药物。</w:t>
      </w:r>
    </w:p>
    <w:p w14:paraId="4E7A542D">
      <w:pPr>
        <w:ind w:firstLine="420"/>
        <w:rPr>
          <w:color w:val="000000" w:themeColor="text1"/>
          <w14:textFill>
            <w14:solidFill>
              <w14:schemeClr w14:val="tx1"/>
            </w14:solidFill>
          </w14:textFill>
        </w:rPr>
      </w:pPr>
      <w:r>
        <w:rPr>
          <w:color w:val="000000" w:themeColor="text1"/>
          <w14:textFill>
            <w14:solidFill>
              <w14:schemeClr w14:val="tx1"/>
            </w14:solidFill>
          </w14:textFill>
        </w:rPr>
        <w:t>冠心病患者口服药物剂型多样，包括普通制剂、肠溶制剂、缓/控释制剂以及舌下制剂等，正确的服药方式对保障药物的疗效十分重要。根据药物的剂型，告知患者正确的服药方式</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用药剂量。对于普通制剂药物，可用温水直接送服。肠溶制剂、缓/控释制剂药物在服药的过程中需整片吞服，不可掰开、嚼碎或研磨。此外，对于有特殊说明的药品如美托洛尔缓释片，可以沿着药片的刻痕掰开，不可随意掰开，否则将失去缓释制剂的药效。控释制剂药物如硝苯地平控释片，该类制剂通常具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整吃整排</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特点，药物释放完后有效成分被吸收，空药囊由肠道排出体外。若患者需要进行影像学检查，需提醒其告知医生目前正在服用该类药物，以避免干扰检查结果。舌下制剂如硝酸甘油片，应将药片含于舌下，尽可能在舌下长时间地保留一些唾液以帮助药片溶解，不要直接吞服，否则不仅起效慢，且达不到治疗效果。含服时间一般控制在5分钟左右，用药后至少5分钟内不要饮水。药物溶解过程中不要吸烟、进食或嚼口香糖。</w:t>
      </w:r>
    </w:p>
    <w:p w14:paraId="45FC222E">
      <w:pPr>
        <w:pStyle w:val="37"/>
        <w:spacing w:before="156" w:after="156"/>
        <w:rPr>
          <w:color w:val="000000" w:themeColor="text1"/>
          <w14:textFill>
            <w14:solidFill>
              <w14:schemeClr w14:val="tx1"/>
            </w14:solidFill>
          </w14:textFill>
        </w:rPr>
      </w:pPr>
      <w:bookmarkStart w:id="159" w:name="_Toc195469971"/>
      <w:bookmarkStart w:id="160" w:name="_Toc195033212"/>
      <w:bookmarkStart w:id="161" w:name="_Toc10880"/>
      <w:bookmarkStart w:id="162" w:name="_Toc6475"/>
      <w:bookmarkStart w:id="163" w:name="_Toc17828"/>
      <w:r>
        <w:rPr>
          <w:rFonts w:hint="eastAsia"/>
          <w:color w:val="000000" w:themeColor="text1"/>
          <w14:textFill>
            <w14:solidFill>
              <w14:schemeClr w14:val="tx1"/>
            </w14:solidFill>
          </w14:textFill>
        </w:rPr>
        <w:t>5.7.3 定期监测的指标与复查周期</w:t>
      </w:r>
      <w:bookmarkEnd w:id="159"/>
      <w:bookmarkEnd w:id="160"/>
      <w:bookmarkEnd w:id="161"/>
      <w:bookmarkEnd w:id="162"/>
      <w:bookmarkEnd w:id="163"/>
    </w:p>
    <w:p w14:paraId="74B824C3">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每天定时记录血压、心率和体重；根据病情和治疗阶段确定监测频率。初始治疗或调整剂量时需密切监测，病情稳定后可延长监测间隔如每3～6个月或按医生要求；按需进行心电图检查判断是否出现心律失常、心肌梗塞、冠状动脉供血不足等；每半年检查一次心脏彩超和冠状动脉造影等。</w:t>
      </w:r>
    </w:p>
    <w:bookmarkEnd w:id="157"/>
    <w:bookmarkEnd w:id="158"/>
    <w:p w14:paraId="576735D0">
      <w:pPr>
        <w:pStyle w:val="37"/>
        <w:spacing w:before="156" w:after="156"/>
        <w:rPr>
          <w:color w:val="000000" w:themeColor="text1"/>
          <w14:textFill>
            <w14:solidFill>
              <w14:schemeClr w14:val="tx1"/>
            </w14:solidFill>
          </w14:textFill>
        </w:rPr>
      </w:pPr>
      <w:bookmarkStart w:id="164" w:name="_Toc28936"/>
      <w:bookmarkStart w:id="165" w:name="_Toc195033213"/>
      <w:bookmarkStart w:id="166" w:name="_Toc195469972"/>
      <w:bookmarkStart w:id="167" w:name="_Toc19639"/>
      <w:bookmarkStart w:id="168" w:name="_Toc190439684"/>
      <w:bookmarkStart w:id="169" w:name="_Toc14409"/>
      <w:r>
        <w:rPr>
          <w:rFonts w:hint="eastAsia"/>
          <w:color w:val="000000" w:themeColor="text1"/>
          <w14:textFill>
            <w14:solidFill>
              <w14:schemeClr w14:val="tx1"/>
            </w14:solidFill>
          </w14:textFill>
        </w:rPr>
        <w:t>5.7.4 生活方式及注意事项</w:t>
      </w:r>
      <w:bookmarkEnd w:id="164"/>
      <w:bookmarkEnd w:id="165"/>
      <w:bookmarkEnd w:id="166"/>
      <w:bookmarkEnd w:id="167"/>
      <w:bookmarkEnd w:id="168"/>
      <w:bookmarkEnd w:id="169"/>
      <w:bookmarkStart w:id="170" w:name="_Toc93480021"/>
    </w:p>
    <w:bookmarkEnd w:id="170"/>
    <w:p w14:paraId="2D8858D6">
      <w:pPr>
        <w:ind w:firstLine="420"/>
        <w:rPr>
          <w:color w:val="000000" w:themeColor="text1"/>
          <w14:textFill>
            <w14:solidFill>
              <w14:schemeClr w14:val="tx1"/>
            </w14:solidFill>
          </w14:textFill>
        </w:rPr>
      </w:pPr>
      <w:r>
        <w:rPr>
          <w:color w:val="000000" w:themeColor="text1"/>
          <w14:textFill>
            <w14:solidFill>
              <w14:schemeClr w14:val="tx1"/>
            </w14:solidFill>
          </w14:textFill>
        </w:rPr>
        <w:t>冠心病患者生活方式的改善包括合理膳食、限制钠盐摄入、控制体重、戒烟、限制饮酒、增加身体活动、减轻精神压力、保持心理平衡等方面。</w:t>
      </w:r>
      <w:r>
        <w:rPr>
          <w:rFonts w:hint="eastAsia"/>
          <w:color w:val="000000" w:themeColor="text1"/>
          <w14:textFill>
            <w14:solidFill>
              <w14:schemeClr w14:val="tx1"/>
            </w14:solidFill>
          </w14:textFill>
        </w:rPr>
        <w:t>患者可多食用新鲜蔬菜、水果，</w:t>
      </w:r>
      <w:r>
        <w:rPr>
          <w:rFonts w:hint="eastAsia" w:cs="宋体"/>
          <w:color w:val="000000" w:themeColor="text1"/>
          <w:kern w:val="0"/>
          <w:lang w:bidi="ar"/>
          <w14:textFill>
            <w14:solidFill>
              <w14:schemeClr w14:val="tx1"/>
            </w14:solidFill>
          </w14:textFill>
        </w:rPr>
        <w:t>适量摄入大豆</w:t>
      </w:r>
      <w:r>
        <w:rPr>
          <w:rFonts w:hint="eastAsia"/>
          <w:color w:val="000000" w:themeColor="text1"/>
          <w14:textFill>
            <w14:solidFill>
              <w14:schemeClr w14:val="tx1"/>
            </w14:solidFill>
          </w14:textFill>
        </w:rPr>
        <w:t>及其制品</w:t>
      </w:r>
      <w:r>
        <w:rPr>
          <w:rFonts w:hint="eastAsia" w:cs="宋体"/>
          <w:color w:val="000000" w:themeColor="text1"/>
          <w:kern w:val="0"/>
          <w:lang w:bidi="ar"/>
          <w14:textFill>
            <w14:solidFill>
              <w14:schemeClr w14:val="tx1"/>
            </w14:solidFill>
          </w14:textFill>
        </w:rPr>
        <w:t>、坚果、鲜奶或奶制品、鱼类等，控制畜禽肉的摄入量，每天不超过</w:t>
      </w:r>
      <w:r>
        <w:rPr>
          <w:rFonts w:ascii="Times New Roman" w:hAnsi="Times New Roman"/>
          <w:color w:val="000000" w:themeColor="text1"/>
          <w:kern w:val="0"/>
          <w:lang w:bidi="ar"/>
          <w14:textFill>
            <w14:solidFill>
              <w14:schemeClr w14:val="tx1"/>
            </w14:solidFill>
          </w14:textFill>
        </w:rPr>
        <w:t>75</w:t>
      </w:r>
      <w:r>
        <w:rPr>
          <w:rFonts w:hint="eastAsia" w:ascii="Times New Roman" w:hAnsi="Times New Roman"/>
          <w:color w:val="000000" w:themeColor="text1"/>
          <w:kern w:val="0"/>
          <w:lang w:bidi="ar"/>
          <w14:textFill>
            <w14:solidFill>
              <w14:schemeClr w14:val="tx1"/>
            </w14:solidFill>
          </w14:textFill>
        </w:rPr>
        <w:t xml:space="preserve"> </w:t>
      </w:r>
      <w:r>
        <w:rPr>
          <w:rFonts w:ascii="Times New Roman" w:hAnsi="Times New Roman"/>
          <w:color w:val="000000" w:themeColor="text1"/>
          <w:kern w:val="0"/>
          <w:lang w:bidi="ar"/>
          <w14:textFill>
            <w14:solidFill>
              <w14:schemeClr w14:val="tx1"/>
            </w14:solidFill>
          </w14:textFill>
        </w:rPr>
        <w:t>g</w:t>
      </w:r>
      <w:r>
        <w:rPr>
          <w:rFonts w:hint="eastAsia" w:ascii="Times New Roman" w:hAnsi="Times New Roman"/>
          <w:color w:val="000000" w:themeColor="text1"/>
          <w:kern w:val="0"/>
          <w:lang w:bidi="ar"/>
          <w14:textFill>
            <w14:solidFill>
              <w14:schemeClr w14:val="tx1"/>
            </w14:solidFill>
          </w14:textFill>
        </w:rPr>
        <w:t>；</w:t>
      </w:r>
      <w:r>
        <w:rPr>
          <w:rFonts w:hint="eastAsia"/>
          <w:color w:val="000000" w:themeColor="text1"/>
          <w14:textFill>
            <w14:solidFill>
              <w14:schemeClr w14:val="tx1"/>
            </w14:solidFill>
          </w14:textFill>
        </w:rPr>
        <w:t>每天食盐摄入控制在</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g</w:t>
      </w:r>
      <w:r>
        <w:rPr>
          <w:rFonts w:hint="eastAsia"/>
          <w:color w:val="000000" w:themeColor="text1"/>
          <w14:textFill>
            <w14:solidFill>
              <w14:schemeClr w14:val="tx1"/>
            </w14:solidFill>
          </w14:textFill>
        </w:rPr>
        <w:t>以内，</w:t>
      </w:r>
      <w:r>
        <w:rPr>
          <w:color w:val="000000" w:themeColor="text1"/>
          <w14:textFill>
            <w14:solidFill>
              <w14:schemeClr w14:val="tx1"/>
            </w14:solidFill>
          </w14:textFill>
        </w:rPr>
        <w:t>增加钾</w:t>
      </w:r>
      <w:r>
        <w:rPr>
          <w:rFonts w:hint="eastAsia"/>
          <w:color w:val="000000" w:themeColor="text1"/>
          <w14:textFill>
            <w14:solidFill>
              <w14:schemeClr w14:val="tx1"/>
            </w14:solidFill>
          </w14:textFill>
        </w:rPr>
        <w:t>盐</w:t>
      </w:r>
      <w:r>
        <w:rPr>
          <w:color w:val="000000" w:themeColor="text1"/>
          <w14:textFill>
            <w14:solidFill>
              <w14:schemeClr w14:val="tx1"/>
            </w14:solidFill>
          </w14:textFill>
        </w:rPr>
        <w:t>摄入；体重方面推荐将其维持在健康范围内（BMI：18.5～23.9</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kg/m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，男性腰围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90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cm，女性腰围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85</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cm），肥胖患者建议将目标定为一年内体重减少初始体重的5%～10%；由于吸烟可损害血管内皮功能，使机体处于炎症状态，导致动脉粥样硬化、斑块不稳定和血栓形成，冠心病患者应戒烟，并减少被动吸烟；饮酒与心血管病之间的关系比较复杂，冠心病患者一般不建议饮酒，如须饮酒，每日酒精摄入量男性应不超过25</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g，女性不超过15</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g；另外，冠心病患者应多做定量耐力运动，如步行、慢跑、骑自行车、太极拳等有氧运动，能够在一定程度上改善和治疗疾病。</w:t>
      </w:r>
    </w:p>
    <w:p w14:paraId="62C4CF46">
      <w:pPr>
        <w:pStyle w:val="4"/>
        <w:spacing w:before="156" w:after="156"/>
      </w:pPr>
      <w:bookmarkStart w:id="171" w:name="_Toc5874"/>
      <w:bookmarkStart w:id="172" w:name="_Toc176894290"/>
      <w:bookmarkStart w:id="173" w:name="_Toc4563"/>
      <w:bookmarkStart w:id="174" w:name="_Toc195469973"/>
      <w:bookmarkStart w:id="175" w:name="_Toc5102"/>
      <w:r>
        <w:rPr>
          <w:rFonts w:hint="eastAsia"/>
        </w:rPr>
        <w:t>5.8 出院随访</w:t>
      </w:r>
      <w:bookmarkEnd w:id="171"/>
      <w:bookmarkEnd w:id="172"/>
      <w:bookmarkEnd w:id="173"/>
      <w:bookmarkEnd w:id="174"/>
      <w:bookmarkEnd w:id="175"/>
    </w:p>
    <w:p w14:paraId="33509FD9">
      <w:pPr>
        <w:ind w:firstLine="420"/>
        <w:rPr>
          <w:color w:val="000000" w:themeColor="text1"/>
          <w14:textFill>
            <w14:solidFill>
              <w14:schemeClr w14:val="tx1"/>
            </w14:solidFill>
          </w14:textFill>
        </w:rPr>
      </w:pPr>
      <w:bookmarkStart w:id="176" w:name="_Toc459720145"/>
      <w:bookmarkStart w:id="177" w:name="_Toc459724776"/>
      <w:r>
        <w:rPr>
          <w:color w:val="000000" w:themeColor="text1"/>
          <w14:textFill>
            <w14:solidFill>
              <w14:schemeClr w14:val="tx1"/>
            </w14:solidFill>
          </w14:textFill>
        </w:rPr>
        <w:t>对于需要长期用药治疗的冠心病患者，应制定随访计划对患者进行系统性地跟踪随访。随访</w:t>
      </w:r>
      <w:r>
        <w:rPr>
          <w:rFonts w:hint="eastAsia"/>
          <w:color w:val="000000" w:themeColor="text1"/>
          <w14:textFill>
            <w14:solidFill>
              <w14:schemeClr w14:val="tx1"/>
            </w14:solidFill>
          </w14:textFill>
        </w:rPr>
        <w:t>时</w:t>
      </w:r>
      <w:r>
        <w:rPr>
          <w:color w:val="000000" w:themeColor="text1"/>
          <w14:textFill>
            <w14:solidFill>
              <w14:schemeClr w14:val="tx1"/>
            </w14:solidFill>
          </w14:textFill>
        </w:rPr>
        <w:t>根据患者原发疾病及选择的治疗药物，</w:t>
      </w:r>
      <w:r>
        <w:rPr>
          <w:rFonts w:hint="eastAsia"/>
          <w:color w:val="000000" w:themeColor="text1"/>
          <w14:textFill>
            <w14:solidFill>
              <w14:schemeClr w14:val="tx1"/>
            </w14:solidFill>
          </w14:textFill>
        </w:rPr>
        <w:t>重点关注</w:t>
      </w:r>
      <w:r>
        <w:rPr>
          <w:color w:val="000000" w:themeColor="text1"/>
          <w14:textFill>
            <w14:solidFill>
              <w14:schemeClr w14:val="tx1"/>
            </w14:solidFill>
          </w14:textFill>
        </w:rPr>
        <w:t>患者用药</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安全</w:t>
      </w:r>
      <w:r>
        <w:rPr>
          <w:rFonts w:hint="eastAsia"/>
          <w:color w:val="000000" w:themeColor="text1"/>
          <w14:textFill>
            <w14:solidFill>
              <w14:schemeClr w14:val="tx1"/>
            </w14:solidFill>
          </w14:textFill>
        </w:rPr>
        <w:t>性</w:t>
      </w:r>
      <w:r>
        <w:rPr>
          <w:color w:val="000000" w:themeColor="text1"/>
          <w14:textFill>
            <w14:solidFill>
              <w14:schemeClr w14:val="tx1"/>
            </w14:solidFill>
          </w14:textFill>
        </w:rPr>
        <w:t>、有效性、依从性及新出现的问题</w:t>
      </w:r>
      <w:r>
        <w:rPr>
          <w:rFonts w:hint="eastAsia"/>
          <w:color w:val="000000" w:themeColor="text1"/>
          <w14:textFill>
            <w14:solidFill>
              <w14:schemeClr w14:val="tx1"/>
            </w14:solidFill>
          </w14:textFill>
        </w:rPr>
        <w:t>等情况</w:t>
      </w:r>
      <w:r>
        <w:rPr>
          <w:color w:val="000000" w:themeColor="text1"/>
          <w14:textFill>
            <w14:solidFill>
              <w14:schemeClr w14:val="tx1"/>
            </w14:solidFill>
          </w14:textFill>
        </w:rPr>
        <w:t>，对患者下次就诊给予帮助，确保患者药物治疗符合临床诊疗规范。</w:t>
      </w:r>
      <w:r>
        <w:rPr>
          <w:rFonts w:hint="eastAsia"/>
          <w:color w:val="000000" w:themeColor="text1"/>
          <w14:textFill>
            <w14:solidFill>
              <w14:schemeClr w14:val="tx1"/>
            </w14:solidFill>
          </w14:textFill>
        </w:rPr>
        <w:t>一般情况下，药师在一周内完成出院患者随访，并</w:t>
      </w:r>
      <w:r>
        <w:rPr>
          <w:color w:val="000000" w:themeColor="text1"/>
          <w:lang w:bidi="ar"/>
          <w14:textFill>
            <w14:solidFill>
              <w14:schemeClr w14:val="tx1"/>
            </w14:solidFill>
          </w14:textFill>
        </w:rPr>
        <w:t>根据随访的结果确定</w:t>
      </w:r>
      <w:r>
        <w:rPr>
          <w:rFonts w:hint="eastAsia"/>
          <w:color w:val="000000" w:themeColor="text1"/>
          <w:lang w:bidi="ar"/>
          <w14:textFill>
            <w14:solidFill>
              <w14:schemeClr w14:val="tx1"/>
            </w14:solidFill>
          </w14:textFill>
        </w:rPr>
        <w:t>后续</w:t>
      </w:r>
      <w:r>
        <w:rPr>
          <w:color w:val="000000" w:themeColor="text1"/>
          <w:lang w:bidi="ar"/>
          <w14:textFill>
            <w14:solidFill>
              <w14:schemeClr w14:val="tx1"/>
            </w14:solidFill>
          </w14:textFill>
        </w:rPr>
        <w:t>随访周期</w:t>
      </w:r>
      <w:r>
        <w:rPr>
          <w:rFonts w:hint="eastAsia"/>
          <w:color w:val="000000" w:themeColor="text1"/>
          <w:lang w:bidi="ar"/>
          <w14:textFill>
            <w14:solidFill>
              <w14:schemeClr w14:val="tx1"/>
            </w14:solidFill>
          </w14:textFill>
        </w:rPr>
        <w:t>，对于复杂用药、依从性差、近期调整方案的患者应缩短随访间隔</w:t>
      </w:r>
      <w:r>
        <w:rPr>
          <w:color w:val="000000" w:themeColor="text1"/>
          <w:lang w:bidi="ar"/>
          <w14:textFill>
            <w14:solidFill>
              <w14:schemeClr w14:val="tx1"/>
            </w14:solidFill>
          </w14:textFill>
        </w:rPr>
        <w:t>。</w:t>
      </w:r>
      <w:r>
        <w:rPr>
          <w:color w:val="000000" w:themeColor="text1"/>
          <w14:textFill>
            <w14:solidFill>
              <w14:schemeClr w14:val="tx1"/>
            </w14:solidFill>
          </w14:textFill>
        </w:rPr>
        <w:t>随访记录单见</w:t>
      </w:r>
      <w:r>
        <w:rPr>
          <w:rFonts w:hint="eastAsia"/>
          <w:color w:val="000000" w:themeColor="text1"/>
          <w14:textFill>
            <w14:solidFill>
              <w14:schemeClr w14:val="tx1"/>
            </w14:solidFill>
          </w14:textFill>
        </w:rPr>
        <w:t>附录H</w:t>
      </w:r>
      <w:r>
        <w:rPr>
          <w:color w:val="000000" w:themeColor="text1"/>
          <w14:textFill>
            <w14:solidFill>
              <w14:schemeClr w14:val="tx1"/>
            </w14:solidFill>
          </w14:textFill>
        </w:rPr>
        <w:t>。</w:t>
      </w:r>
    </w:p>
    <w:bookmarkEnd w:id="176"/>
    <w:bookmarkEnd w:id="177"/>
    <w:p w14:paraId="3711257E">
      <w:pPr>
        <w:pStyle w:val="89"/>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178" w:name="_Toc6226"/>
      <w:bookmarkStart w:id="179" w:name="_Toc450"/>
      <w:bookmarkStart w:id="180" w:name="_Toc195469974"/>
      <w:bookmarkStart w:id="181" w:name="_Toc17676"/>
      <w:r>
        <w:rPr>
          <w:rFonts w:hint="eastAsia"/>
          <w:color w:val="000000" w:themeColor="text1"/>
          <w14:textFill>
            <w14:solidFill>
              <w14:schemeClr w14:val="tx1"/>
            </w14:solidFill>
          </w14:textFill>
        </w:rPr>
        <w:t>附录A</w:t>
      </w:r>
      <w:bookmarkEnd w:id="178"/>
      <w:bookmarkEnd w:id="179"/>
      <w:bookmarkEnd w:id="180"/>
      <w:bookmarkEnd w:id="181"/>
    </w:p>
    <w:p w14:paraId="27D82E90">
      <w:pPr>
        <w:pStyle w:val="89"/>
        <w:rPr>
          <w:color w:val="000000" w:themeColor="text1"/>
          <w14:textFill>
            <w14:solidFill>
              <w14:schemeClr w14:val="tx1"/>
            </w14:solidFill>
          </w14:textFill>
        </w:rPr>
      </w:pPr>
      <w:bookmarkStart w:id="182" w:name="_Toc30216"/>
      <w:bookmarkStart w:id="183" w:name="_Toc195469975"/>
      <w:bookmarkStart w:id="184" w:name="_Toc16795"/>
      <w:bookmarkStart w:id="185" w:name="_Toc18802"/>
      <w:bookmarkStart w:id="186" w:name="_Toc195469311"/>
      <w:r>
        <w:rPr>
          <w:rFonts w:hint="eastAsia"/>
          <w:color w:val="000000" w:themeColor="text1"/>
          <w14:textFill>
            <w14:solidFill>
              <w14:schemeClr w14:val="tx1"/>
            </w14:solidFill>
          </w14:textFill>
        </w:rPr>
        <w:t>（资料性）</w:t>
      </w:r>
      <w:bookmarkEnd w:id="182"/>
      <w:bookmarkEnd w:id="183"/>
      <w:bookmarkEnd w:id="184"/>
      <w:bookmarkEnd w:id="185"/>
      <w:bookmarkEnd w:id="186"/>
    </w:p>
    <w:p w14:paraId="2B7F1159">
      <w:pPr>
        <w:pStyle w:val="89"/>
        <w:rPr>
          <w:color w:val="000000" w:themeColor="text1"/>
          <w14:textFill>
            <w14:solidFill>
              <w14:schemeClr w14:val="tx1"/>
            </w14:solidFill>
          </w14:textFill>
        </w:rPr>
      </w:pPr>
      <w:bookmarkStart w:id="187" w:name="_Toc16537"/>
      <w:r>
        <w:rPr>
          <w:rFonts w:hint="eastAsia"/>
          <w:color w:val="000000" w:themeColor="text1"/>
          <w14:textFill>
            <w14:solidFill>
              <w14:schemeClr w14:val="tx1"/>
            </w14:solidFill>
          </w14:textFill>
        </w:rPr>
        <w:t>冠心病住院患者药历</w:t>
      </w:r>
      <w:bookmarkEnd w:id="187"/>
    </w:p>
    <w:p w14:paraId="44C93E4D">
      <w:pPr>
        <w:ind w:firstLine="210" w:firstLineChars="1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病区：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病历号：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床号：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监护分级结果：</w:t>
      </w:r>
      <w:r>
        <w:rPr>
          <w:rFonts w:hint="eastAsia" w:ascii="宋体" w:hAnsi="宋体" w:cs="宋体"/>
          <w:color w:val="000000" w:themeColor="text1"/>
          <w:szCs w:val="21"/>
          <w:u w:val="single"/>
          <w14:textFill>
            <w14:solidFill>
              <w14:schemeClr w14:val="tx1"/>
            </w14:solidFill>
          </w14:textFill>
        </w:rPr>
        <w:t xml:space="preserve">         </w:t>
      </w:r>
    </w:p>
    <w:tbl>
      <w:tblPr>
        <w:tblStyle w:val="71"/>
        <w:tblW w:w="8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923"/>
        <w:gridCol w:w="1073"/>
        <w:gridCol w:w="692"/>
        <w:gridCol w:w="693"/>
        <w:gridCol w:w="698"/>
        <w:gridCol w:w="698"/>
        <w:gridCol w:w="612"/>
        <w:gridCol w:w="946"/>
        <w:gridCol w:w="691"/>
        <w:gridCol w:w="9"/>
      </w:tblGrid>
      <w:tr w14:paraId="77B8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170" w:hRule="atLeast"/>
          <w:jc w:val="center"/>
        </w:trPr>
        <w:tc>
          <w:tcPr>
            <w:tcW w:w="1389" w:type="dxa"/>
            <w:vAlign w:val="center"/>
          </w:tcPr>
          <w:p w14:paraId="7767E7EF">
            <w:pPr>
              <w:ind w:firstLine="0" w:firstLineChars="0"/>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姓名</w:t>
            </w:r>
          </w:p>
        </w:tc>
        <w:tc>
          <w:tcPr>
            <w:tcW w:w="923" w:type="dxa"/>
            <w:vAlign w:val="center"/>
          </w:tcPr>
          <w:p w14:paraId="6839C577">
            <w:pPr>
              <w:ind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073" w:type="dxa"/>
            <w:vAlign w:val="center"/>
          </w:tcPr>
          <w:p w14:paraId="0B595A00">
            <w:pPr>
              <w:ind w:firstLine="0" w:firstLineChars="0"/>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性别</w:t>
            </w:r>
          </w:p>
        </w:tc>
        <w:tc>
          <w:tcPr>
            <w:tcW w:w="692" w:type="dxa"/>
            <w:vAlign w:val="center"/>
          </w:tcPr>
          <w:p w14:paraId="7DDE5776">
            <w:pPr>
              <w:ind w:firstLine="0" w:firstLineChars="0"/>
              <w:jc w:val="center"/>
              <w:rPr>
                <w:rFonts w:ascii="Times New Roman" w:hAnsi="Times New Roman" w:cs="Times New Roman"/>
                <w:b/>
                <w:bCs/>
                <w:color w:val="000000" w:themeColor="text1"/>
                <w:sz w:val="18"/>
                <w:szCs w:val="18"/>
                <w14:textFill>
                  <w14:solidFill>
                    <w14:schemeClr w14:val="tx1"/>
                  </w14:solidFill>
                </w14:textFill>
              </w:rPr>
            </w:pPr>
          </w:p>
        </w:tc>
        <w:tc>
          <w:tcPr>
            <w:tcW w:w="693" w:type="dxa"/>
            <w:vAlign w:val="center"/>
          </w:tcPr>
          <w:p w14:paraId="55CE432D">
            <w:pPr>
              <w:ind w:firstLine="0" w:firstLineChars="0"/>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年龄</w:t>
            </w:r>
          </w:p>
        </w:tc>
        <w:tc>
          <w:tcPr>
            <w:tcW w:w="698" w:type="dxa"/>
            <w:vAlign w:val="center"/>
          </w:tcPr>
          <w:p w14:paraId="64F3F22F">
            <w:pPr>
              <w:ind w:firstLine="0" w:firstLineChars="0"/>
              <w:jc w:val="center"/>
              <w:rPr>
                <w:rFonts w:ascii="Times New Roman" w:hAnsi="Times New Roman" w:cs="Times New Roman"/>
                <w:b/>
                <w:bCs/>
                <w:color w:val="000000" w:themeColor="text1"/>
                <w:sz w:val="18"/>
                <w:szCs w:val="18"/>
                <w14:textFill>
                  <w14:solidFill>
                    <w14:schemeClr w14:val="tx1"/>
                  </w14:solidFill>
                </w14:textFill>
              </w:rPr>
            </w:pPr>
          </w:p>
        </w:tc>
        <w:tc>
          <w:tcPr>
            <w:tcW w:w="698" w:type="dxa"/>
            <w:vAlign w:val="center"/>
          </w:tcPr>
          <w:p w14:paraId="7D9ED0EF">
            <w:pPr>
              <w:ind w:firstLine="0" w:firstLineChars="0"/>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民族</w:t>
            </w:r>
          </w:p>
        </w:tc>
        <w:tc>
          <w:tcPr>
            <w:tcW w:w="612" w:type="dxa"/>
            <w:vAlign w:val="center"/>
          </w:tcPr>
          <w:p w14:paraId="50C25530">
            <w:pPr>
              <w:ind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946" w:type="dxa"/>
            <w:vAlign w:val="center"/>
          </w:tcPr>
          <w:p w14:paraId="4A4AEFB9">
            <w:pPr>
              <w:ind w:firstLine="0" w:firstLineChars="0"/>
              <w:jc w:val="center"/>
              <w:rPr>
                <w:rFonts w:ascii="Times New Roman" w:hAnsi="Times New Roman" w:cs="Times New Roman" w:eastAsiaTheme="minorEastAsia"/>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职业</w:t>
            </w:r>
          </w:p>
        </w:tc>
        <w:tc>
          <w:tcPr>
            <w:tcW w:w="691" w:type="dxa"/>
            <w:vAlign w:val="center"/>
          </w:tcPr>
          <w:p w14:paraId="37DB6B84">
            <w:pPr>
              <w:ind w:firstLine="0" w:firstLineChars="0"/>
              <w:jc w:val="center"/>
              <w:rPr>
                <w:rFonts w:ascii="Times New Roman" w:hAnsi="Times New Roman" w:cs="Times New Roman"/>
                <w:color w:val="000000" w:themeColor="text1"/>
                <w:sz w:val="18"/>
                <w:szCs w:val="18"/>
                <w14:textFill>
                  <w14:solidFill>
                    <w14:schemeClr w14:val="tx1"/>
                  </w14:solidFill>
                </w14:textFill>
              </w:rPr>
            </w:pPr>
          </w:p>
        </w:tc>
      </w:tr>
      <w:tr w14:paraId="39DC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170" w:hRule="atLeast"/>
          <w:jc w:val="center"/>
        </w:trPr>
        <w:tc>
          <w:tcPr>
            <w:tcW w:w="1389" w:type="dxa"/>
            <w:vAlign w:val="center"/>
          </w:tcPr>
          <w:p w14:paraId="7C76BA50">
            <w:pPr>
              <w:ind w:firstLine="0" w:firstLineChars="0"/>
              <w:jc w:val="center"/>
              <w:rPr>
                <w:rFonts w:ascii="Times New Roman" w:hAnsi="Times New Roman" w:cs="Times New Roman" w:eastAsiaTheme="minorEastAsia"/>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身高</w:t>
            </w:r>
            <w:r>
              <w:rPr>
                <w:rFonts w:hint="eastAsia" w:ascii="Times New Roman" w:hAnsi="Times New Roman" w:cs="Times New Roman"/>
                <w:b/>
                <w:bCs/>
                <w:color w:val="000000" w:themeColor="text1"/>
                <w:sz w:val="18"/>
                <w:szCs w:val="18"/>
                <w14:textFill>
                  <w14:solidFill>
                    <w14:schemeClr w14:val="tx1"/>
                  </w14:solidFill>
                </w14:textFill>
              </w:rPr>
              <w:t>（cm）</w:t>
            </w:r>
          </w:p>
        </w:tc>
        <w:tc>
          <w:tcPr>
            <w:tcW w:w="923" w:type="dxa"/>
            <w:vAlign w:val="center"/>
          </w:tcPr>
          <w:p w14:paraId="71D678C9">
            <w:pPr>
              <w:ind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073" w:type="dxa"/>
            <w:vAlign w:val="center"/>
          </w:tcPr>
          <w:p w14:paraId="4BE49C3F">
            <w:pPr>
              <w:ind w:firstLine="0" w:firstLineChars="0"/>
              <w:jc w:val="center"/>
              <w:rPr>
                <w:rFonts w:ascii="Times New Roman" w:hAnsi="Times New Roman" w:cs="Times New Roman" w:eastAsiaTheme="minorEastAsia"/>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体重</w:t>
            </w:r>
            <w:r>
              <w:rPr>
                <w:rFonts w:hint="eastAsia" w:ascii="Times New Roman" w:hAnsi="Times New Roman" w:cs="Times New Roman"/>
                <w:b/>
                <w:bCs/>
                <w:color w:val="000000" w:themeColor="text1"/>
                <w:sz w:val="18"/>
                <w:szCs w:val="18"/>
                <w14:textFill>
                  <w14:solidFill>
                    <w14:schemeClr w14:val="tx1"/>
                  </w14:solidFill>
                </w14:textFill>
              </w:rPr>
              <w:t>(kg)</w:t>
            </w:r>
          </w:p>
        </w:tc>
        <w:tc>
          <w:tcPr>
            <w:tcW w:w="1385" w:type="dxa"/>
            <w:gridSpan w:val="2"/>
            <w:vAlign w:val="center"/>
          </w:tcPr>
          <w:p w14:paraId="1C4B0603">
            <w:pPr>
              <w:ind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1396" w:type="dxa"/>
            <w:gridSpan w:val="2"/>
            <w:vAlign w:val="center"/>
          </w:tcPr>
          <w:p w14:paraId="053274DD">
            <w:pPr>
              <w:ind w:firstLine="0" w:firstLineChars="0"/>
              <w:jc w:val="center"/>
              <w:rPr>
                <w:rFonts w:ascii="Times New Roman" w:hAnsi="Times New Roman" w:cs="Times New Roman" w:eastAsiaTheme="minorEastAsia"/>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BMI（kg/m</w:t>
            </w:r>
            <w:r>
              <w:rPr>
                <w:rFonts w:hint="eastAsia" w:ascii="Times New Roman" w:hAnsi="Times New Roman" w:cs="Times New Roman"/>
                <w:b/>
                <w:bCs/>
                <w:color w:val="000000" w:themeColor="text1"/>
                <w:sz w:val="18"/>
                <w:szCs w:val="18"/>
                <w:vertAlign w:val="superscript"/>
                <w14:textFill>
                  <w14:solidFill>
                    <w14:schemeClr w14:val="tx1"/>
                  </w14:solidFill>
                </w14:textFill>
              </w:rPr>
              <w:t>2</w:t>
            </w:r>
            <w:r>
              <w:rPr>
                <w:rFonts w:hint="eastAsia" w:ascii="Times New Roman" w:hAnsi="Times New Roman" w:cs="Times New Roman"/>
                <w:b/>
                <w:bCs/>
                <w:color w:val="000000" w:themeColor="text1"/>
                <w:sz w:val="18"/>
                <w:szCs w:val="18"/>
                <w14:textFill>
                  <w14:solidFill>
                    <w14:schemeClr w14:val="tx1"/>
                  </w14:solidFill>
                </w14:textFill>
              </w:rPr>
              <w:t>）</w:t>
            </w:r>
          </w:p>
        </w:tc>
        <w:tc>
          <w:tcPr>
            <w:tcW w:w="612" w:type="dxa"/>
            <w:vAlign w:val="center"/>
          </w:tcPr>
          <w:p w14:paraId="7BB9F89B">
            <w:pPr>
              <w:ind w:firstLine="0" w:firstLineChars="0"/>
              <w:jc w:val="center"/>
              <w:rPr>
                <w:rFonts w:ascii="Times New Roman" w:hAnsi="Times New Roman" w:cs="Times New Roman"/>
                <w:color w:val="000000" w:themeColor="text1"/>
                <w:sz w:val="18"/>
                <w:szCs w:val="18"/>
                <w14:textFill>
                  <w14:solidFill>
                    <w14:schemeClr w14:val="tx1"/>
                  </w14:solidFill>
                </w14:textFill>
              </w:rPr>
            </w:pPr>
          </w:p>
        </w:tc>
        <w:tc>
          <w:tcPr>
            <w:tcW w:w="946" w:type="dxa"/>
            <w:vAlign w:val="center"/>
          </w:tcPr>
          <w:p w14:paraId="28834699">
            <w:pPr>
              <w:ind w:firstLine="0" w:firstLineChars="0"/>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医保类型</w:t>
            </w:r>
          </w:p>
        </w:tc>
        <w:tc>
          <w:tcPr>
            <w:tcW w:w="691" w:type="dxa"/>
            <w:vAlign w:val="center"/>
          </w:tcPr>
          <w:p w14:paraId="4F3831D3">
            <w:pPr>
              <w:ind w:firstLine="0" w:firstLineChars="0"/>
              <w:jc w:val="center"/>
              <w:rPr>
                <w:rFonts w:ascii="Times New Roman" w:hAnsi="Times New Roman" w:cs="Times New Roman"/>
                <w:b/>
                <w:bCs/>
                <w:color w:val="000000" w:themeColor="text1"/>
                <w:sz w:val="18"/>
                <w:szCs w:val="18"/>
                <w14:textFill>
                  <w14:solidFill>
                    <w14:schemeClr w14:val="tx1"/>
                  </w14:solidFill>
                </w14:textFill>
              </w:rPr>
            </w:pPr>
          </w:p>
        </w:tc>
      </w:tr>
      <w:tr w14:paraId="300D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535" w:hRule="atLeast"/>
          <w:jc w:val="center"/>
        </w:trPr>
        <w:tc>
          <w:tcPr>
            <w:tcW w:w="1389" w:type="dxa"/>
            <w:vAlign w:val="center"/>
          </w:tcPr>
          <w:p w14:paraId="52C75FEB">
            <w:pPr>
              <w:ind w:firstLine="0" w:firstLineChars="0"/>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主诉</w:t>
            </w:r>
          </w:p>
        </w:tc>
        <w:tc>
          <w:tcPr>
            <w:tcW w:w="7026" w:type="dxa"/>
            <w:gridSpan w:val="9"/>
            <w:vAlign w:val="center"/>
          </w:tcPr>
          <w:p w14:paraId="45B79CFA">
            <w:pPr>
              <w:ind w:firstLine="360" w:firstLineChars="0"/>
              <w:jc w:val="left"/>
              <w:rPr>
                <w:rFonts w:ascii="Times New Roman" w:hAnsi="Times New Roman" w:cs="Times New Roman"/>
                <w:color w:val="000000" w:themeColor="text1"/>
                <w:sz w:val="18"/>
                <w:szCs w:val="18"/>
                <w14:textFill>
                  <w14:solidFill>
                    <w14:schemeClr w14:val="tx1"/>
                  </w14:solidFill>
                </w14:textFill>
              </w:rPr>
            </w:pPr>
          </w:p>
        </w:tc>
      </w:tr>
      <w:tr w14:paraId="2118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535" w:hRule="atLeast"/>
          <w:jc w:val="center"/>
        </w:trPr>
        <w:tc>
          <w:tcPr>
            <w:tcW w:w="1389" w:type="dxa"/>
            <w:vAlign w:val="center"/>
          </w:tcPr>
          <w:p w14:paraId="23DC2E7B">
            <w:pPr>
              <w:ind w:firstLine="0" w:firstLineChars="0"/>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入院诊断</w:t>
            </w:r>
          </w:p>
        </w:tc>
        <w:tc>
          <w:tcPr>
            <w:tcW w:w="7026" w:type="dxa"/>
            <w:gridSpan w:val="9"/>
            <w:vAlign w:val="center"/>
          </w:tcPr>
          <w:p w14:paraId="50EFF861">
            <w:pPr>
              <w:ind w:firstLine="360" w:firstLineChars="0"/>
              <w:jc w:val="left"/>
              <w:rPr>
                <w:rFonts w:ascii="Times New Roman" w:hAnsi="Times New Roman" w:cs="Times New Roman"/>
                <w:color w:val="000000" w:themeColor="text1"/>
                <w:sz w:val="18"/>
                <w:szCs w:val="18"/>
                <w14:textFill>
                  <w14:solidFill>
                    <w14:schemeClr w14:val="tx1"/>
                  </w14:solidFill>
                </w14:textFill>
              </w:rPr>
            </w:pPr>
          </w:p>
        </w:tc>
      </w:tr>
      <w:tr w14:paraId="214D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259" w:hRule="atLeast"/>
          <w:jc w:val="center"/>
        </w:trPr>
        <w:tc>
          <w:tcPr>
            <w:tcW w:w="1389" w:type="dxa"/>
            <w:vAlign w:val="center"/>
          </w:tcPr>
          <w:p w14:paraId="4298670D">
            <w:pPr>
              <w:ind w:firstLine="0" w:firstLineChars="0"/>
              <w:jc w:val="left"/>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主要</w:t>
            </w:r>
          </w:p>
          <w:p w14:paraId="6BB63397">
            <w:pPr>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检查</w:t>
            </w:r>
          </w:p>
        </w:tc>
        <w:tc>
          <w:tcPr>
            <w:tcW w:w="7026" w:type="dxa"/>
            <w:gridSpan w:val="9"/>
            <w:vAlign w:val="center"/>
          </w:tcPr>
          <w:p w14:paraId="47E607D7">
            <w:pPr>
              <w:spacing w:line="240" w:lineRule="auto"/>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心血管风险：</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未测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已测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低危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中危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高危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极高危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超高危</w:t>
            </w:r>
          </w:p>
          <w:p w14:paraId="5EC790CE">
            <w:pPr>
              <w:spacing w:line="240" w:lineRule="auto"/>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心电图：</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正常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异常，具体描述：</w:t>
            </w:r>
            <w:r>
              <w:rPr>
                <w:rFonts w:ascii="Times New Roman" w:hAnsi="Times New Roman" w:cs="Times New Roman"/>
                <w:color w:val="000000" w:themeColor="text1"/>
                <w:sz w:val="18"/>
                <w:szCs w:val="18"/>
                <w:u w:val="single"/>
                <w14:textFill>
                  <w14:solidFill>
                    <w14:schemeClr w14:val="tx1"/>
                  </w14:solidFill>
                </w14:textFill>
              </w:rPr>
              <w:t xml:space="preserve">                                           </w:t>
            </w:r>
          </w:p>
          <w:p w14:paraId="290B168A">
            <w:pPr>
              <w:spacing w:line="240" w:lineRule="auto"/>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冠脉CTA、造影结果：</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正常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异常，具体描述：</w:t>
            </w:r>
            <w:r>
              <w:rPr>
                <w:rFonts w:ascii="Times New Roman" w:hAnsi="Times New Roman" w:cs="Times New Roman"/>
                <w:color w:val="000000" w:themeColor="text1"/>
                <w:sz w:val="18"/>
                <w:szCs w:val="18"/>
                <w:u w:val="single"/>
                <w14:textFill>
                  <w14:solidFill>
                    <w14:schemeClr w14:val="tx1"/>
                  </w14:solidFill>
                </w14:textFill>
              </w:rPr>
              <w:t xml:space="preserve">                               </w:t>
            </w:r>
          </w:p>
          <w:p w14:paraId="296C6E99">
            <w:pPr>
              <w:spacing w:line="240" w:lineRule="auto"/>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心脏MRI：</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正常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异常，具体描述：</w:t>
            </w:r>
            <w:r>
              <w:rPr>
                <w:rFonts w:ascii="Times New Roman" w:hAnsi="Times New Roman" w:cs="Times New Roman"/>
                <w:color w:val="000000" w:themeColor="text1"/>
                <w:sz w:val="18"/>
                <w:szCs w:val="18"/>
                <w:u w:val="single"/>
                <w14:textFill>
                  <w14:solidFill>
                    <w14:schemeClr w14:val="tx1"/>
                  </w14:solidFill>
                </w14:textFill>
              </w:rPr>
              <w:t xml:space="preserve">                                         </w:t>
            </w:r>
          </w:p>
          <w:p w14:paraId="3FDB9B7B">
            <w:pPr>
              <w:spacing w:line="240" w:lineRule="auto"/>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血常规：</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正常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异常，具体情况：</w:t>
            </w:r>
            <w:r>
              <w:rPr>
                <w:rFonts w:ascii="Times New Roman" w:hAnsi="Times New Roman" w:cs="Times New Roman"/>
                <w:color w:val="000000" w:themeColor="text1"/>
                <w:sz w:val="18"/>
                <w:szCs w:val="18"/>
                <w:u w:val="single"/>
                <w14:textFill>
                  <w14:solidFill>
                    <w14:schemeClr w14:val="tx1"/>
                  </w14:solidFill>
                </w14:textFill>
              </w:rPr>
              <w:t xml:space="preserve">                                           </w:t>
            </w:r>
          </w:p>
          <w:p w14:paraId="66E8847D">
            <w:pPr>
              <w:spacing w:line="240" w:lineRule="auto"/>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凝血功能：</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正常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异常，具体情况：</w:t>
            </w:r>
            <w:r>
              <w:rPr>
                <w:rFonts w:ascii="Times New Roman" w:hAnsi="Times New Roman" w:cs="Times New Roman"/>
                <w:color w:val="000000" w:themeColor="text1"/>
                <w:sz w:val="18"/>
                <w:szCs w:val="18"/>
                <w:u w:val="single"/>
                <w14:textFill>
                  <w14:solidFill>
                    <w14:schemeClr w14:val="tx1"/>
                  </w14:solidFill>
                </w14:textFill>
              </w:rPr>
              <w:t xml:space="preserve">                                         </w:t>
            </w:r>
          </w:p>
          <w:p w14:paraId="012FA234">
            <w:pPr>
              <w:spacing w:line="240" w:lineRule="auto"/>
              <w:ind w:left="2160" w:hanging="2160" w:hangingChars="1200"/>
              <w:jc w:val="left"/>
              <w:rPr>
                <w:rFonts w:ascii="Times New Roman" w:hAnsi="Times New Roman" w:cs="Times New Roman"/>
                <w:color w:val="000000" w:themeColor="text1"/>
                <w:sz w:val="18"/>
                <w:szCs w:val="18"/>
                <w:u w:val="single"/>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血脂：</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正常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异常</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TC</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TG</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u w:val="single"/>
                <w14:textFill>
                  <w14:solidFill>
                    <w14:schemeClr w14:val="tx1"/>
                  </w14:solidFill>
                </w14:textFill>
              </w:rPr>
              <w:t xml:space="preserve">         </w:t>
            </w:r>
          </w:p>
          <w:p w14:paraId="1B6E62DC">
            <w:pPr>
              <w:spacing w:line="240" w:lineRule="auto"/>
              <w:ind w:left="180" w:hanging="180" w:hangingChars="10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LDL-C</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 xml:space="preserve"> HDL-C</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p>
          <w:p w14:paraId="74D34DB7">
            <w:pPr>
              <w:spacing w:line="240" w:lineRule="auto"/>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肝功能：</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正常</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异常 ALT</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AST</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u w:val="single"/>
                <w14:textFill>
                  <w14:solidFill>
                    <w14:schemeClr w14:val="tx1"/>
                  </w14:solidFill>
                </w14:textFill>
              </w:rPr>
              <w:t xml:space="preserve"> </w:t>
            </w:r>
          </w:p>
          <w:p w14:paraId="695948DF">
            <w:pPr>
              <w:spacing w:line="240" w:lineRule="auto"/>
              <w:ind w:firstLine="0" w:firstLineChars="0"/>
              <w:jc w:val="left"/>
              <w:rPr>
                <w:rFonts w:ascii="Times New Roman" w:hAnsi="Times New Roman" w:cs="Times New Roman"/>
                <w:color w:val="000000" w:themeColor="text1"/>
                <w:sz w:val="18"/>
                <w:szCs w:val="18"/>
                <w:highlight w:val="yellow"/>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肾功能：</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正常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异常 Cr</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 xml:space="preserve"> CrCl</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BUN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u w:val="single"/>
                <w14:textFill>
                  <w14:solidFill>
                    <w14:schemeClr w14:val="tx1"/>
                  </w14:solidFill>
                </w14:textFill>
              </w:rPr>
              <w:t xml:space="preserve"> </w:t>
            </w:r>
          </w:p>
        </w:tc>
      </w:tr>
      <w:tr w14:paraId="3696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722" w:hRule="atLeast"/>
          <w:jc w:val="center"/>
        </w:trPr>
        <w:tc>
          <w:tcPr>
            <w:tcW w:w="1389" w:type="dxa"/>
            <w:vAlign w:val="center"/>
          </w:tcPr>
          <w:p w14:paraId="34EADB20">
            <w:pPr>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个人史</w:t>
            </w:r>
          </w:p>
        </w:tc>
        <w:tc>
          <w:tcPr>
            <w:tcW w:w="7026" w:type="dxa"/>
            <w:gridSpan w:val="9"/>
            <w:vAlign w:val="center"/>
          </w:tcPr>
          <w:p w14:paraId="30E518E4">
            <w:pPr>
              <w:spacing w:line="240" w:lineRule="auto"/>
              <w:ind w:firstLine="0" w:firstLineChars="0"/>
              <w:jc w:val="left"/>
              <w:rPr>
                <w:rFonts w:ascii="Times New Roman" w:hAnsi="Times New Roman" w:cs="Times New Roman"/>
                <w:color w:val="000000" w:themeColor="text1"/>
                <w:sz w:val="18"/>
                <w:szCs w:val="18"/>
                <w:u w:val="single"/>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出生地：</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长期居住地：</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u w:val="single"/>
                <w14:textFill>
                  <w14:solidFill>
                    <w14:schemeClr w14:val="tx1"/>
                  </w14:solidFill>
                </w14:textFill>
              </w:rPr>
              <w:t xml:space="preserve">              </w:t>
            </w:r>
          </w:p>
          <w:p w14:paraId="5FF8BA7E">
            <w:pPr>
              <w:spacing w:line="240" w:lineRule="auto"/>
              <w:ind w:firstLine="0" w:firstLineChars="0"/>
              <w:jc w:val="left"/>
              <w:rPr>
                <w:rFonts w:ascii="Times New Roman" w:hAnsi="Times New Roman" w:cs="Times New Roman"/>
                <w:color w:val="000000" w:themeColor="text1"/>
                <w:sz w:val="18"/>
                <w:szCs w:val="18"/>
                <w:u w:val="single"/>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职业与工作条件：</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u w:val="single"/>
                <w14:textFill>
                  <w14:solidFill>
                    <w14:schemeClr w14:val="tx1"/>
                  </w14:solidFill>
                </w14:textFill>
              </w:rPr>
              <w:t xml:space="preserve">                         </w:t>
            </w:r>
          </w:p>
          <w:p w14:paraId="6417618B">
            <w:pPr>
              <w:spacing w:line="240" w:lineRule="auto"/>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工业毒物、粉尘、放射性物质接触史：</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有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无   </w:t>
            </w:r>
            <w:r>
              <w:rPr>
                <w:rFonts w:hint="eastAsia"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p>
          <w:p w14:paraId="7005EF4E">
            <w:pPr>
              <w:spacing w:line="240" w:lineRule="auto"/>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婚姻、配偶及子女情况：</w:t>
            </w:r>
            <w:r>
              <w:rPr>
                <w:rFonts w:hint="eastAsia" w:ascii="Times New Roman" w:hAnsi="Times New Roman" w:cs="Times New Roman"/>
                <w:color w:val="000000" w:themeColor="text1"/>
                <w:sz w:val="18"/>
                <w:szCs w:val="18"/>
                <w:u w:val="single"/>
                <w14:textFill>
                  <w14:solidFill>
                    <w14:schemeClr w14:val="tx1"/>
                  </w14:solidFill>
                </w14:textFill>
              </w:rPr>
              <w:t xml:space="preserve">                                                      </w:t>
            </w:r>
          </w:p>
          <w:p w14:paraId="2EBA6D10">
            <w:pPr>
              <w:spacing w:line="240" w:lineRule="auto"/>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不良嗜好：吸烟情况：</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否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是    </w:t>
            </w:r>
            <w:r>
              <w:rPr>
                <w:rFonts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年，</w:t>
            </w:r>
            <w:r>
              <w:rPr>
                <w:rFonts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支/日；</w:t>
            </w:r>
          </w:p>
          <w:p w14:paraId="40F6BDAD">
            <w:pPr>
              <w:spacing w:line="240" w:lineRule="auto"/>
              <w:ind w:firstLine="919" w:firstLineChars="511"/>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戒断情况：</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否 </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是   戒断</w:t>
            </w:r>
            <w:r>
              <w:rPr>
                <w:rFonts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年</w:t>
            </w:r>
          </w:p>
          <w:p w14:paraId="54D77EE5">
            <w:pPr>
              <w:spacing w:line="240" w:lineRule="auto"/>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饮酒情况：</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否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是   </w:t>
            </w:r>
            <w:r>
              <w:rPr>
                <w:rFonts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年，</w:t>
            </w:r>
            <w:r>
              <w:rPr>
                <w:rFonts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两/天；戒断情况：</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否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已戒   戒断</w:t>
            </w:r>
            <w:r>
              <w:rPr>
                <w:rFonts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年</w:t>
            </w:r>
          </w:p>
          <w:p w14:paraId="6A2C0A5B">
            <w:pPr>
              <w:spacing w:line="240" w:lineRule="auto"/>
              <w:ind w:firstLine="919" w:firstLineChars="511"/>
              <w:jc w:val="left"/>
              <w:rPr>
                <w:rFonts w:ascii="Times New Roman" w:hAnsi="Times New Roman" w:cs="Times New Roman"/>
                <w:color w:val="000000" w:themeColor="text1"/>
                <w:sz w:val="18"/>
                <w:szCs w:val="18"/>
                <w14:textFill>
                  <w14:solidFill>
                    <w14:schemeClr w14:val="tx1"/>
                  </w14:solidFill>
                </w14:textFill>
              </w:rPr>
            </w:pP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饮食偏好</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 xml:space="preserve">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其他</w:t>
            </w:r>
            <w:r>
              <w:rPr>
                <w:rFonts w:ascii="Times New Roman" w:hAnsi="Times New Roman" w:cs="Times New Roman"/>
                <w:color w:val="000000" w:themeColor="text1"/>
                <w:sz w:val="18"/>
                <w:szCs w:val="18"/>
                <w:u w:val="single"/>
                <w14:textFill>
                  <w14:solidFill>
                    <w14:schemeClr w14:val="tx1"/>
                  </w14:solidFill>
                </w14:textFill>
              </w:rPr>
              <w:t xml:space="preserve">  </w:t>
            </w:r>
            <w:r>
              <w:rPr>
                <w:rFonts w:hint="eastAsia"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u w:val="single"/>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 xml:space="preserve"> </w:t>
            </w:r>
          </w:p>
        </w:tc>
      </w:tr>
      <w:tr w14:paraId="218A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870" w:hRule="atLeast"/>
          <w:jc w:val="center"/>
        </w:trPr>
        <w:tc>
          <w:tcPr>
            <w:tcW w:w="1389" w:type="dxa"/>
            <w:vAlign w:val="center"/>
          </w:tcPr>
          <w:p w14:paraId="39378333">
            <w:pPr>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现病史及用药</w:t>
            </w:r>
          </w:p>
        </w:tc>
        <w:tc>
          <w:tcPr>
            <w:tcW w:w="7026" w:type="dxa"/>
            <w:gridSpan w:val="9"/>
            <w:vAlign w:val="center"/>
          </w:tcPr>
          <w:p w14:paraId="21B1154B">
            <w:pPr>
              <w:ind w:firstLine="360" w:firstLineChars="0"/>
              <w:jc w:val="left"/>
              <w:rPr>
                <w:rFonts w:ascii="Times New Roman" w:hAnsi="Times New Roman" w:cs="Times New Roman"/>
                <w:color w:val="000000" w:themeColor="text1"/>
                <w:sz w:val="18"/>
                <w:szCs w:val="18"/>
                <w14:textFill>
                  <w14:solidFill>
                    <w14:schemeClr w14:val="tx1"/>
                  </w14:solidFill>
                </w14:textFill>
              </w:rPr>
            </w:pPr>
          </w:p>
        </w:tc>
      </w:tr>
      <w:tr w14:paraId="059E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953" w:hRule="atLeast"/>
          <w:jc w:val="center"/>
        </w:trPr>
        <w:tc>
          <w:tcPr>
            <w:tcW w:w="1389" w:type="dxa"/>
            <w:vAlign w:val="center"/>
          </w:tcPr>
          <w:p w14:paraId="5F804FC9">
            <w:pPr>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既往史及用药</w:t>
            </w:r>
          </w:p>
        </w:tc>
        <w:tc>
          <w:tcPr>
            <w:tcW w:w="7026" w:type="dxa"/>
            <w:gridSpan w:val="9"/>
            <w:vAlign w:val="center"/>
          </w:tcPr>
          <w:p w14:paraId="5881C63B">
            <w:pPr>
              <w:ind w:firstLine="360" w:firstLineChars="0"/>
              <w:jc w:val="left"/>
              <w:rPr>
                <w:rFonts w:ascii="Times New Roman" w:hAnsi="Times New Roman" w:cs="Times New Roman"/>
                <w:color w:val="000000" w:themeColor="text1"/>
                <w:sz w:val="18"/>
                <w:szCs w:val="18"/>
                <w14:textFill>
                  <w14:solidFill>
                    <w14:schemeClr w14:val="tx1"/>
                  </w14:solidFill>
                </w14:textFill>
              </w:rPr>
            </w:pPr>
          </w:p>
        </w:tc>
      </w:tr>
      <w:tr w14:paraId="7527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1193" w:hRule="atLeast"/>
          <w:jc w:val="center"/>
        </w:trPr>
        <w:tc>
          <w:tcPr>
            <w:tcW w:w="1389" w:type="dxa"/>
            <w:vAlign w:val="center"/>
          </w:tcPr>
          <w:p w14:paraId="357B821F">
            <w:pPr>
              <w:ind w:firstLine="0" w:firstLineChars="0"/>
              <w:jc w:val="lef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过敏史</w:t>
            </w:r>
            <w:r>
              <w:rPr>
                <w:rFonts w:hint="eastAsia" w:ascii="Times New Roman" w:hAnsi="Times New Roman" w:cs="Times New Roman"/>
                <w:b/>
                <w:bCs/>
                <w:color w:val="000000" w:themeColor="text1"/>
                <w:sz w:val="18"/>
                <w:szCs w:val="18"/>
                <w14:textFill>
                  <w14:solidFill>
                    <w14:schemeClr w14:val="tx1"/>
                  </w14:solidFill>
                </w14:textFill>
              </w:rPr>
              <w:t>及处置史</w:t>
            </w:r>
          </w:p>
        </w:tc>
        <w:tc>
          <w:tcPr>
            <w:tcW w:w="7026" w:type="dxa"/>
            <w:gridSpan w:val="9"/>
            <w:vAlign w:val="center"/>
          </w:tcPr>
          <w:p w14:paraId="5E3BBE45">
            <w:pPr>
              <w:spacing w:line="240" w:lineRule="auto"/>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有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无</w:t>
            </w:r>
          </w:p>
          <w:p w14:paraId="34FF4332">
            <w:pPr>
              <w:spacing w:line="240" w:lineRule="auto"/>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怀疑药物/食物名称</w:t>
            </w:r>
            <w:r>
              <w:rPr>
                <w:rFonts w:hint="eastAsia" w:ascii="Times New Roman" w:hAnsi="Times New Roman" w:cs="Times New Roman"/>
                <w:color w:val="000000" w:themeColor="text1"/>
                <w:sz w:val="18"/>
                <w:szCs w:val="18"/>
                <w:u w:val="single"/>
                <w14:textFill>
                  <w14:solidFill>
                    <w14:schemeClr w14:val="tx1"/>
                  </w14:solidFill>
                </w14:textFill>
              </w:rPr>
              <w:t xml:space="preserve">                                                           </w:t>
            </w:r>
          </w:p>
          <w:p w14:paraId="3FC19EBE">
            <w:pPr>
              <w:spacing w:line="240" w:lineRule="auto"/>
              <w:ind w:firstLine="0" w:firstLineChars="0"/>
              <w:jc w:val="left"/>
              <w:rPr>
                <w:rFonts w:ascii="Times New Roman" w:hAnsi="Times New Roman" w:cs="Times New Roman"/>
                <w:color w:val="000000" w:themeColor="text1"/>
                <w:sz w:val="18"/>
                <w:szCs w:val="18"/>
                <w:u w:val="single"/>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主要</w:t>
            </w:r>
            <w:r>
              <w:rPr>
                <w:rFonts w:hint="eastAsia" w:ascii="Times New Roman" w:hAnsi="Times New Roman" w:cs="Times New Roman"/>
                <w:color w:val="000000" w:themeColor="text1"/>
                <w:sz w:val="18"/>
                <w:szCs w:val="18"/>
                <w14:textFill>
                  <w14:solidFill>
                    <w14:schemeClr w14:val="tx1"/>
                  </w14:solidFill>
                </w14:textFill>
              </w:rPr>
              <w:t>药物不良</w:t>
            </w:r>
            <w:r>
              <w:rPr>
                <w:rFonts w:ascii="Times New Roman" w:hAnsi="Times New Roman" w:cs="Times New Roman"/>
                <w:color w:val="000000" w:themeColor="text1"/>
                <w:sz w:val="18"/>
                <w:szCs w:val="18"/>
                <w14:textFill>
                  <w14:solidFill>
                    <w14:schemeClr w14:val="tx1"/>
                  </w14:solidFill>
                </w14:textFill>
              </w:rPr>
              <w:t>反应表现</w:t>
            </w:r>
            <w:r>
              <w:rPr>
                <w:rFonts w:hint="eastAsia" w:ascii="Times New Roman" w:hAnsi="Times New Roman" w:cs="Times New Roman"/>
                <w:color w:val="000000" w:themeColor="text1"/>
                <w:sz w:val="18"/>
                <w:szCs w:val="18"/>
                <w:u w:val="single"/>
                <w14:textFill>
                  <w14:solidFill>
                    <w14:schemeClr w14:val="tx1"/>
                  </w14:solidFill>
                </w14:textFill>
              </w:rPr>
              <w:t xml:space="preserve">                                                           </w:t>
            </w:r>
          </w:p>
          <w:p w14:paraId="01F3C71A">
            <w:pPr>
              <w:spacing w:line="240" w:lineRule="auto"/>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处理措施及结果  </w:t>
            </w:r>
            <w:r>
              <w:rPr>
                <w:rFonts w:ascii="Segoe UI Symbol" w:hAnsi="Segoe UI Symbol" w:cs="Segoe UI Symbol"/>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未停药</w:t>
            </w:r>
            <w:r>
              <w:rPr>
                <w:rFonts w:ascii="Times New Roman" w:hAnsi="Times New Roman" w:cs="Times New Roman"/>
                <w:color w:val="000000" w:themeColor="text1"/>
                <w:sz w:val="18"/>
                <w:szCs w:val="18"/>
                <w14:textFill>
                  <w14:solidFill>
                    <w14:schemeClr w14:val="tx1"/>
                  </w14:solidFill>
                </w14:textFill>
              </w:rPr>
              <w:t xml:space="preserve">   </w:t>
            </w:r>
            <w:r>
              <w:rPr>
                <w:rFonts w:ascii="Segoe UI Symbol" w:hAnsi="Segoe UI Symbol" w:cs="Segoe UI Symbol"/>
                <w:color w:val="000000" w:themeColor="text1"/>
                <w:sz w:val="18"/>
                <w:szCs w:val="18"/>
                <w14:textFill>
                  <w14:solidFill>
                    <w14:schemeClr w14:val="tx1"/>
                  </w14:solidFill>
                </w14:textFill>
              </w:rPr>
              <w:t>☐</w:t>
            </w:r>
            <w:r>
              <w:rPr>
                <w:rFonts w:hint="eastAsia" w:ascii="Segoe UI Symbol" w:hAnsi="Segoe UI Symbol" w:cs="Segoe UI Symbol"/>
                <w:color w:val="000000" w:themeColor="text1"/>
                <w:sz w:val="18"/>
                <w:szCs w:val="18"/>
                <w14:textFill>
                  <w14:solidFill>
                    <w14:schemeClr w14:val="tx1"/>
                  </w14:solidFill>
                </w14:textFill>
              </w:rPr>
              <w:t>停药后缓解</w:t>
            </w:r>
            <w:r>
              <w:rPr>
                <w:rFonts w:ascii="Times New Roman" w:hAnsi="Times New Roman" w:cs="Times New Roman"/>
                <w:color w:val="000000" w:themeColor="text1"/>
                <w:sz w:val="18"/>
                <w:szCs w:val="18"/>
                <w14:textFill>
                  <w14:solidFill>
                    <w14:schemeClr w14:val="tx1"/>
                  </w14:solidFill>
                </w14:textFill>
              </w:rPr>
              <w:t xml:space="preserve">   </w:t>
            </w:r>
            <w:r>
              <w:rPr>
                <w:rFonts w:ascii="Segoe UI Symbol" w:hAnsi="Segoe UI Symbol" w:cs="Segoe UI Symbol"/>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对症治疗后缓解</w:t>
            </w:r>
            <w:r>
              <w:rPr>
                <w:rFonts w:ascii="Times New Roman" w:hAnsi="Times New Roman" w:cs="Times New Roman"/>
                <w:color w:val="000000" w:themeColor="text1"/>
                <w:sz w:val="18"/>
                <w:szCs w:val="18"/>
                <w14:textFill>
                  <w14:solidFill>
                    <w14:schemeClr w14:val="tx1"/>
                  </w14:solidFill>
                </w14:textFill>
              </w:rPr>
              <w:t xml:space="preserve">   </w:t>
            </w:r>
          </w:p>
          <w:p w14:paraId="0029EF64">
            <w:pPr>
              <w:spacing w:line="240" w:lineRule="auto"/>
              <w:ind w:firstLine="1440" w:firstLineChars="800"/>
              <w:jc w:val="left"/>
              <w:rPr>
                <w:rFonts w:ascii="Times New Roman" w:hAnsi="Times New Roman" w:cs="Times New Roman"/>
                <w:color w:val="000000" w:themeColor="text1"/>
                <w:sz w:val="18"/>
                <w:szCs w:val="18"/>
                <w14:textFill>
                  <w14:solidFill>
                    <w14:schemeClr w14:val="tx1"/>
                  </w14:solidFill>
                </w14:textFill>
              </w:rPr>
            </w:pPr>
            <w:r>
              <w:rPr>
                <w:rFonts w:ascii="Segoe UI Symbol" w:hAnsi="Segoe UI Symbol" w:cs="Segoe UI Symbol"/>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对症治疗后未缓解</w:t>
            </w:r>
            <w:r>
              <w:rPr>
                <w:rFonts w:ascii="Times New Roman" w:hAnsi="Times New Roman" w:cs="Times New Roman"/>
                <w:color w:val="000000" w:themeColor="text1"/>
                <w:sz w:val="18"/>
                <w:szCs w:val="18"/>
                <w14:textFill>
                  <w14:solidFill>
                    <w14:schemeClr w14:val="tx1"/>
                  </w14:solidFill>
                </w14:textFill>
              </w:rPr>
              <w:t xml:space="preserve">   </w:t>
            </w:r>
            <w:r>
              <w:rPr>
                <w:rFonts w:ascii="Segoe UI Symbol" w:hAnsi="Segoe UI Symbol" w:cs="Segoe UI Symbol"/>
                <w:color w:val="000000" w:themeColor="text1"/>
                <w:sz w:val="18"/>
                <w:szCs w:val="18"/>
                <w14:textFill>
                  <w14:solidFill>
                    <w14:schemeClr w14:val="tx1"/>
                  </w14:solidFill>
                </w14:textFill>
              </w:rPr>
              <w:t>☐</w:t>
            </w:r>
            <w:r>
              <w:rPr>
                <w:rFonts w:hint="eastAsia" w:ascii="Segoe UI Symbol" w:hAnsi="Segoe UI Symbol" w:cs="Segoe UI Symbol"/>
                <w:color w:val="000000" w:themeColor="text1"/>
                <w:sz w:val="18"/>
                <w:szCs w:val="18"/>
                <w14:textFill>
                  <w14:solidFill>
                    <w14:schemeClr w14:val="tx1"/>
                  </w14:solidFill>
                </w14:textFill>
              </w:rPr>
              <w:t>未再次使用</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Segoe UI Symbol" w:hAnsi="Segoe UI Symbol" w:cs="Segoe UI Symbol"/>
                <w:color w:val="000000" w:themeColor="text1"/>
                <w:sz w:val="18"/>
                <w:szCs w:val="18"/>
                <w14:textFill>
                  <w14:solidFill>
                    <w14:schemeClr w14:val="tx1"/>
                  </w14:solidFill>
                </w14:textFill>
              </w:rPr>
              <w:t>☐</w:t>
            </w:r>
            <w:r>
              <w:rPr>
                <w:rFonts w:hint="eastAsia" w:ascii="Segoe UI Symbol" w:hAnsi="Segoe UI Symbol" w:cs="Segoe UI Symbol"/>
                <w:color w:val="000000" w:themeColor="text1"/>
                <w:sz w:val="18"/>
                <w:szCs w:val="18"/>
                <w14:textFill>
                  <w14:solidFill>
                    <w14:schemeClr w14:val="tx1"/>
                  </w14:solidFill>
                </w14:textFill>
              </w:rPr>
              <w:t>再次使用后又出现</w:t>
            </w:r>
            <w:r>
              <w:rPr>
                <w:rFonts w:ascii="Times New Roman" w:hAnsi="Times New Roman" w:cs="Times New Roman"/>
                <w:color w:val="000000" w:themeColor="text1"/>
                <w:sz w:val="18"/>
                <w:szCs w:val="18"/>
                <w14:textFill>
                  <w14:solidFill>
                    <w14:schemeClr w14:val="tx1"/>
                  </w14:solidFill>
                </w14:textFill>
              </w:rPr>
              <w:t xml:space="preserve">   </w:t>
            </w:r>
          </w:p>
          <w:p w14:paraId="63D1729F">
            <w:pPr>
              <w:spacing w:line="240" w:lineRule="auto"/>
              <w:ind w:firstLine="0" w:firstLineChars="0"/>
              <w:jc w:val="left"/>
              <w:rPr>
                <w:rFonts w:ascii="Times New Roman" w:hAnsi="Times New Roman" w:cs="Times New Roman" w:eastAsiaTheme="minorEastAsia"/>
                <w:color w:val="000000" w:themeColor="text1"/>
                <w:sz w:val="18"/>
                <w:szCs w:val="18"/>
                <w:u w:val="single"/>
                <w14:textFill>
                  <w14:solidFill>
                    <w14:schemeClr w14:val="tx1"/>
                  </w14:solidFill>
                </w14:textFill>
              </w:rPr>
            </w:pPr>
            <w:r>
              <w:rPr>
                <w:rFonts w:ascii="Segoe UI Symbol" w:hAnsi="Segoe UI Symbol" w:cs="Segoe UI Symbol"/>
                <w:color w:val="000000" w:themeColor="text1"/>
                <w:sz w:val="18"/>
                <w:szCs w:val="18"/>
                <w14:textFill>
                  <w14:solidFill>
                    <w14:schemeClr w14:val="tx1"/>
                  </w14:solidFill>
                </w14:textFill>
              </w:rPr>
              <w:t>☐</w:t>
            </w:r>
            <w:r>
              <w:rPr>
                <w:rFonts w:hint="eastAsia" w:ascii="Segoe UI Symbol" w:hAnsi="Segoe UI Symbol" w:cs="Segoe UI Symbol"/>
                <w:color w:val="000000" w:themeColor="text1"/>
                <w:sz w:val="18"/>
                <w:szCs w:val="18"/>
                <w14:textFill>
                  <w14:solidFill>
                    <w14:schemeClr w14:val="tx1"/>
                  </w14:solidFill>
                </w14:textFill>
              </w:rPr>
              <w:t>其它</w:t>
            </w:r>
            <w:r>
              <w:rPr>
                <w:rFonts w:hint="eastAsia" w:ascii="Times New Roman" w:hAnsi="Times New Roman" w:cs="Times New Roman"/>
                <w:color w:val="000000" w:themeColor="text1"/>
                <w:sz w:val="18"/>
                <w:szCs w:val="18"/>
                <w:u w:val="single"/>
                <w14:textFill>
                  <w14:solidFill>
                    <w14:schemeClr w14:val="tx1"/>
                  </w14:solidFill>
                </w14:textFill>
              </w:rPr>
              <w:t xml:space="preserve">                                               </w:t>
            </w:r>
          </w:p>
        </w:tc>
      </w:tr>
      <w:tr w14:paraId="510E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594" w:hRule="atLeast"/>
          <w:jc w:val="center"/>
        </w:trPr>
        <w:tc>
          <w:tcPr>
            <w:tcW w:w="1389" w:type="dxa"/>
            <w:vAlign w:val="center"/>
          </w:tcPr>
          <w:p w14:paraId="78A13FE7">
            <w:pPr>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家族史</w:t>
            </w:r>
          </w:p>
        </w:tc>
        <w:tc>
          <w:tcPr>
            <w:tcW w:w="7026" w:type="dxa"/>
            <w:gridSpan w:val="9"/>
            <w:vAlign w:val="center"/>
          </w:tcPr>
          <w:p w14:paraId="5D1D889D">
            <w:pPr>
              <w:ind w:firstLine="360" w:firstLineChars="0"/>
              <w:jc w:val="left"/>
              <w:rPr>
                <w:rFonts w:ascii="Times New Roman" w:hAnsi="Times New Roman" w:cs="Times New Roman"/>
                <w:color w:val="000000" w:themeColor="text1"/>
                <w:sz w:val="18"/>
                <w:szCs w:val="18"/>
                <w14:textFill>
                  <w14:solidFill>
                    <w14:schemeClr w14:val="tx1"/>
                  </w14:solidFill>
                </w14:textFill>
              </w:rPr>
            </w:pPr>
          </w:p>
        </w:tc>
      </w:tr>
      <w:tr w14:paraId="156E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3060" w:hRule="atLeast"/>
          <w:jc w:val="center"/>
        </w:trPr>
        <w:tc>
          <w:tcPr>
            <w:tcW w:w="1389" w:type="dxa"/>
            <w:vAlign w:val="center"/>
          </w:tcPr>
          <w:p w14:paraId="3EF80E27">
            <w:pPr>
              <w:ind w:firstLine="0"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初始药物治疗方案汇总</w:t>
            </w:r>
          </w:p>
        </w:tc>
        <w:tc>
          <w:tcPr>
            <w:tcW w:w="7026" w:type="dxa"/>
            <w:gridSpan w:val="9"/>
            <w:vAlign w:val="center"/>
          </w:tcPr>
          <w:tbl>
            <w:tblPr>
              <w:tblStyle w:val="26"/>
              <w:tblW w:w="6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702"/>
              <w:gridCol w:w="1703"/>
              <w:gridCol w:w="1703"/>
            </w:tblGrid>
            <w:tr w14:paraId="56AB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vAlign w:val="center"/>
                </w:tcPr>
                <w:p w14:paraId="4D43B75F">
                  <w:pPr>
                    <w:spacing w:line="240" w:lineRule="auto"/>
                    <w:ind w:firstLine="0" w:firstLineChars="0"/>
                    <w:jc w:val="center"/>
                    <w:rPr>
                      <w:rFonts w:ascii="Times New Roman" w:hAnsi="Times New Roman" w:cs="Times New Roman" w:eastAsiaTheme="minorEastAsia"/>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用药目的</w:t>
                  </w:r>
                </w:p>
              </w:tc>
              <w:tc>
                <w:tcPr>
                  <w:tcW w:w="1702" w:type="dxa"/>
                  <w:vAlign w:val="center"/>
                </w:tcPr>
                <w:p w14:paraId="39DEA31C">
                  <w:pPr>
                    <w:spacing w:line="240" w:lineRule="auto"/>
                    <w:ind w:firstLine="0" w:firstLineChars="0"/>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药物名称</w:t>
                  </w:r>
                </w:p>
                <w:p w14:paraId="2D243CB8">
                  <w:pPr>
                    <w:spacing w:line="240" w:lineRule="auto"/>
                    <w:ind w:firstLine="0" w:firstLineChars="0"/>
                    <w:jc w:val="center"/>
                    <w:rPr>
                      <w:rFonts w:ascii="Times New Roman" w:hAnsi="Times New Roman" w:cs="Times New Roman" w:eastAsiaTheme="minorEastAsia"/>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（通用名称）</w:t>
                  </w:r>
                </w:p>
              </w:tc>
              <w:tc>
                <w:tcPr>
                  <w:tcW w:w="1703" w:type="dxa"/>
                  <w:vAlign w:val="center"/>
                </w:tcPr>
                <w:p w14:paraId="623A26A0">
                  <w:pPr>
                    <w:spacing w:line="240" w:lineRule="auto"/>
                    <w:ind w:firstLine="0" w:firstLineChars="0"/>
                    <w:jc w:val="center"/>
                    <w:rPr>
                      <w:rFonts w:ascii="Times New Roman" w:hAnsi="Times New Roman" w:cs="Times New Roman" w:eastAsiaTheme="minorEastAsia"/>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用法用量</w:t>
                  </w:r>
                </w:p>
              </w:tc>
              <w:tc>
                <w:tcPr>
                  <w:tcW w:w="1703" w:type="dxa"/>
                  <w:vAlign w:val="center"/>
                </w:tcPr>
                <w:p w14:paraId="6BE8A269">
                  <w:pPr>
                    <w:spacing w:line="240" w:lineRule="auto"/>
                    <w:ind w:firstLine="0" w:firstLineChars="0"/>
                    <w:jc w:val="center"/>
                    <w:rPr>
                      <w:rFonts w:ascii="Times New Roman" w:hAnsi="Times New Roman" w:cs="Times New Roman" w:eastAsiaTheme="minorEastAsia"/>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起止日期</w:t>
                  </w:r>
                </w:p>
              </w:tc>
            </w:tr>
            <w:tr w14:paraId="14F3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2" w:type="dxa"/>
                </w:tcPr>
                <w:p w14:paraId="0EFE8E28">
                  <w:pPr>
                    <w:ind w:firstLine="360"/>
                    <w:jc w:val="left"/>
                    <w:rPr>
                      <w:rFonts w:ascii="Times New Roman" w:hAnsi="Times New Roman" w:cs="Times New Roman"/>
                      <w:color w:val="000000" w:themeColor="text1"/>
                      <w:sz w:val="18"/>
                      <w:szCs w:val="18"/>
                      <w14:textFill>
                        <w14:solidFill>
                          <w14:schemeClr w14:val="tx1"/>
                        </w14:solidFill>
                      </w14:textFill>
                    </w:rPr>
                  </w:pPr>
                </w:p>
              </w:tc>
              <w:tc>
                <w:tcPr>
                  <w:tcW w:w="1702" w:type="dxa"/>
                </w:tcPr>
                <w:p w14:paraId="56A03EA4">
                  <w:pPr>
                    <w:ind w:firstLine="360"/>
                    <w:jc w:val="left"/>
                    <w:rPr>
                      <w:rFonts w:ascii="Times New Roman" w:hAnsi="Times New Roman" w:cs="Times New Roman"/>
                      <w:color w:val="000000" w:themeColor="text1"/>
                      <w:sz w:val="18"/>
                      <w:szCs w:val="18"/>
                      <w14:textFill>
                        <w14:solidFill>
                          <w14:schemeClr w14:val="tx1"/>
                        </w14:solidFill>
                      </w14:textFill>
                    </w:rPr>
                  </w:pPr>
                </w:p>
              </w:tc>
              <w:tc>
                <w:tcPr>
                  <w:tcW w:w="1703" w:type="dxa"/>
                </w:tcPr>
                <w:p w14:paraId="5C8FF690">
                  <w:pPr>
                    <w:ind w:firstLine="360"/>
                    <w:jc w:val="left"/>
                    <w:rPr>
                      <w:rFonts w:ascii="Times New Roman" w:hAnsi="Times New Roman" w:cs="Times New Roman"/>
                      <w:color w:val="000000" w:themeColor="text1"/>
                      <w:sz w:val="18"/>
                      <w:szCs w:val="18"/>
                      <w14:textFill>
                        <w14:solidFill>
                          <w14:schemeClr w14:val="tx1"/>
                        </w14:solidFill>
                      </w14:textFill>
                    </w:rPr>
                  </w:pPr>
                </w:p>
              </w:tc>
              <w:tc>
                <w:tcPr>
                  <w:tcW w:w="1703" w:type="dxa"/>
                </w:tcPr>
                <w:p w14:paraId="19F2DC1D">
                  <w:pPr>
                    <w:ind w:firstLine="360"/>
                    <w:jc w:val="left"/>
                    <w:rPr>
                      <w:rFonts w:ascii="Times New Roman" w:hAnsi="Times New Roman" w:cs="Times New Roman"/>
                      <w:color w:val="000000" w:themeColor="text1"/>
                      <w:sz w:val="18"/>
                      <w:szCs w:val="18"/>
                      <w14:textFill>
                        <w14:solidFill>
                          <w14:schemeClr w14:val="tx1"/>
                        </w14:solidFill>
                      </w14:textFill>
                    </w:rPr>
                  </w:pPr>
                </w:p>
              </w:tc>
            </w:tr>
            <w:tr w14:paraId="06EF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4ADEBD35">
                  <w:pPr>
                    <w:ind w:firstLine="360"/>
                    <w:jc w:val="left"/>
                    <w:rPr>
                      <w:rFonts w:ascii="Times New Roman" w:hAnsi="Times New Roman" w:cs="Times New Roman"/>
                      <w:color w:val="000000" w:themeColor="text1"/>
                      <w:sz w:val="18"/>
                      <w:szCs w:val="18"/>
                      <w14:textFill>
                        <w14:solidFill>
                          <w14:schemeClr w14:val="tx1"/>
                        </w14:solidFill>
                      </w14:textFill>
                    </w:rPr>
                  </w:pPr>
                </w:p>
              </w:tc>
              <w:tc>
                <w:tcPr>
                  <w:tcW w:w="1702" w:type="dxa"/>
                </w:tcPr>
                <w:p w14:paraId="5E0D6B8D">
                  <w:pPr>
                    <w:ind w:firstLine="360"/>
                    <w:jc w:val="left"/>
                    <w:rPr>
                      <w:rFonts w:ascii="Times New Roman" w:hAnsi="Times New Roman" w:cs="Times New Roman"/>
                      <w:color w:val="000000" w:themeColor="text1"/>
                      <w:sz w:val="18"/>
                      <w:szCs w:val="18"/>
                      <w14:textFill>
                        <w14:solidFill>
                          <w14:schemeClr w14:val="tx1"/>
                        </w14:solidFill>
                      </w14:textFill>
                    </w:rPr>
                  </w:pPr>
                </w:p>
              </w:tc>
              <w:tc>
                <w:tcPr>
                  <w:tcW w:w="1703" w:type="dxa"/>
                </w:tcPr>
                <w:p w14:paraId="43E3DD22">
                  <w:pPr>
                    <w:ind w:firstLine="360"/>
                    <w:jc w:val="left"/>
                    <w:rPr>
                      <w:rFonts w:ascii="Times New Roman" w:hAnsi="Times New Roman" w:cs="Times New Roman"/>
                      <w:color w:val="000000" w:themeColor="text1"/>
                      <w:sz w:val="18"/>
                      <w:szCs w:val="18"/>
                      <w14:textFill>
                        <w14:solidFill>
                          <w14:schemeClr w14:val="tx1"/>
                        </w14:solidFill>
                      </w14:textFill>
                    </w:rPr>
                  </w:pPr>
                </w:p>
              </w:tc>
              <w:tc>
                <w:tcPr>
                  <w:tcW w:w="1703" w:type="dxa"/>
                </w:tcPr>
                <w:p w14:paraId="17A7442F">
                  <w:pPr>
                    <w:ind w:firstLine="360"/>
                    <w:jc w:val="left"/>
                    <w:rPr>
                      <w:rFonts w:ascii="Times New Roman" w:hAnsi="Times New Roman" w:cs="Times New Roman"/>
                      <w:color w:val="000000" w:themeColor="text1"/>
                      <w:sz w:val="18"/>
                      <w:szCs w:val="18"/>
                      <w14:textFill>
                        <w14:solidFill>
                          <w14:schemeClr w14:val="tx1"/>
                        </w14:solidFill>
                      </w14:textFill>
                    </w:rPr>
                  </w:pPr>
                </w:p>
              </w:tc>
            </w:tr>
            <w:tr w14:paraId="596E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2E65D63A">
                  <w:pPr>
                    <w:ind w:firstLine="360"/>
                    <w:jc w:val="left"/>
                    <w:rPr>
                      <w:rFonts w:ascii="Times New Roman" w:hAnsi="Times New Roman" w:cs="Times New Roman"/>
                      <w:color w:val="000000" w:themeColor="text1"/>
                      <w:sz w:val="18"/>
                      <w:szCs w:val="18"/>
                      <w14:textFill>
                        <w14:solidFill>
                          <w14:schemeClr w14:val="tx1"/>
                        </w14:solidFill>
                      </w14:textFill>
                    </w:rPr>
                  </w:pPr>
                </w:p>
              </w:tc>
              <w:tc>
                <w:tcPr>
                  <w:tcW w:w="1702" w:type="dxa"/>
                </w:tcPr>
                <w:p w14:paraId="13D843E4">
                  <w:pPr>
                    <w:ind w:firstLine="360"/>
                    <w:jc w:val="left"/>
                    <w:rPr>
                      <w:rFonts w:ascii="Times New Roman" w:hAnsi="Times New Roman" w:cs="Times New Roman"/>
                      <w:color w:val="000000" w:themeColor="text1"/>
                      <w:sz w:val="18"/>
                      <w:szCs w:val="18"/>
                      <w14:textFill>
                        <w14:solidFill>
                          <w14:schemeClr w14:val="tx1"/>
                        </w14:solidFill>
                      </w14:textFill>
                    </w:rPr>
                  </w:pPr>
                </w:p>
              </w:tc>
              <w:tc>
                <w:tcPr>
                  <w:tcW w:w="1703" w:type="dxa"/>
                </w:tcPr>
                <w:p w14:paraId="6AB14CFB">
                  <w:pPr>
                    <w:ind w:firstLine="360"/>
                    <w:jc w:val="left"/>
                    <w:rPr>
                      <w:rFonts w:ascii="Times New Roman" w:hAnsi="Times New Roman" w:cs="Times New Roman"/>
                      <w:color w:val="000000" w:themeColor="text1"/>
                      <w:sz w:val="18"/>
                      <w:szCs w:val="18"/>
                      <w14:textFill>
                        <w14:solidFill>
                          <w14:schemeClr w14:val="tx1"/>
                        </w14:solidFill>
                      </w14:textFill>
                    </w:rPr>
                  </w:pPr>
                </w:p>
              </w:tc>
              <w:tc>
                <w:tcPr>
                  <w:tcW w:w="1703" w:type="dxa"/>
                </w:tcPr>
                <w:p w14:paraId="2EE31A24">
                  <w:pPr>
                    <w:ind w:firstLine="360"/>
                    <w:jc w:val="left"/>
                    <w:rPr>
                      <w:rFonts w:ascii="Times New Roman" w:hAnsi="Times New Roman" w:cs="Times New Roman"/>
                      <w:color w:val="000000" w:themeColor="text1"/>
                      <w:sz w:val="18"/>
                      <w:szCs w:val="18"/>
                      <w14:textFill>
                        <w14:solidFill>
                          <w14:schemeClr w14:val="tx1"/>
                        </w14:solidFill>
                      </w14:textFill>
                    </w:rPr>
                  </w:pPr>
                </w:p>
              </w:tc>
            </w:tr>
            <w:tr w14:paraId="1646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06C53634">
                  <w:pPr>
                    <w:ind w:firstLine="360"/>
                    <w:jc w:val="left"/>
                    <w:rPr>
                      <w:rFonts w:ascii="Times New Roman" w:hAnsi="Times New Roman" w:cs="Times New Roman"/>
                      <w:color w:val="000000" w:themeColor="text1"/>
                      <w:sz w:val="18"/>
                      <w:szCs w:val="18"/>
                      <w14:textFill>
                        <w14:solidFill>
                          <w14:schemeClr w14:val="tx1"/>
                        </w14:solidFill>
                      </w14:textFill>
                    </w:rPr>
                  </w:pPr>
                </w:p>
              </w:tc>
              <w:tc>
                <w:tcPr>
                  <w:tcW w:w="1702" w:type="dxa"/>
                </w:tcPr>
                <w:p w14:paraId="56BD0DFB">
                  <w:pPr>
                    <w:ind w:firstLine="360"/>
                    <w:jc w:val="left"/>
                    <w:rPr>
                      <w:rFonts w:ascii="Times New Roman" w:hAnsi="Times New Roman" w:cs="Times New Roman"/>
                      <w:color w:val="000000" w:themeColor="text1"/>
                      <w:sz w:val="18"/>
                      <w:szCs w:val="18"/>
                      <w14:textFill>
                        <w14:solidFill>
                          <w14:schemeClr w14:val="tx1"/>
                        </w14:solidFill>
                      </w14:textFill>
                    </w:rPr>
                  </w:pPr>
                </w:p>
              </w:tc>
              <w:tc>
                <w:tcPr>
                  <w:tcW w:w="1703" w:type="dxa"/>
                </w:tcPr>
                <w:p w14:paraId="2DCE2CA7">
                  <w:pPr>
                    <w:ind w:firstLine="360"/>
                    <w:jc w:val="left"/>
                    <w:rPr>
                      <w:rFonts w:ascii="Times New Roman" w:hAnsi="Times New Roman" w:cs="Times New Roman"/>
                      <w:color w:val="000000" w:themeColor="text1"/>
                      <w:sz w:val="18"/>
                      <w:szCs w:val="18"/>
                      <w14:textFill>
                        <w14:solidFill>
                          <w14:schemeClr w14:val="tx1"/>
                        </w14:solidFill>
                      </w14:textFill>
                    </w:rPr>
                  </w:pPr>
                </w:p>
              </w:tc>
              <w:tc>
                <w:tcPr>
                  <w:tcW w:w="1703" w:type="dxa"/>
                </w:tcPr>
                <w:p w14:paraId="5993CDAC">
                  <w:pPr>
                    <w:ind w:firstLine="360"/>
                    <w:jc w:val="left"/>
                    <w:rPr>
                      <w:rFonts w:ascii="Times New Roman" w:hAnsi="Times New Roman" w:cs="Times New Roman"/>
                      <w:color w:val="000000" w:themeColor="text1"/>
                      <w:sz w:val="18"/>
                      <w:szCs w:val="18"/>
                      <w14:textFill>
                        <w14:solidFill>
                          <w14:schemeClr w14:val="tx1"/>
                        </w14:solidFill>
                      </w14:textFill>
                    </w:rPr>
                  </w:pPr>
                </w:p>
              </w:tc>
            </w:tr>
            <w:tr w14:paraId="03EA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1940C298">
                  <w:pPr>
                    <w:ind w:firstLine="360"/>
                    <w:jc w:val="left"/>
                    <w:rPr>
                      <w:rFonts w:ascii="Times New Roman" w:hAnsi="Times New Roman" w:cs="Times New Roman"/>
                      <w:color w:val="000000" w:themeColor="text1"/>
                      <w:sz w:val="18"/>
                      <w:szCs w:val="18"/>
                      <w14:textFill>
                        <w14:solidFill>
                          <w14:schemeClr w14:val="tx1"/>
                        </w14:solidFill>
                      </w14:textFill>
                    </w:rPr>
                  </w:pPr>
                </w:p>
              </w:tc>
              <w:tc>
                <w:tcPr>
                  <w:tcW w:w="1702" w:type="dxa"/>
                </w:tcPr>
                <w:p w14:paraId="647611FD">
                  <w:pPr>
                    <w:ind w:firstLine="360"/>
                    <w:jc w:val="left"/>
                    <w:rPr>
                      <w:rFonts w:ascii="Times New Roman" w:hAnsi="Times New Roman" w:cs="Times New Roman"/>
                      <w:color w:val="000000" w:themeColor="text1"/>
                      <w:sz w:val="18"/>
                      <w:szCs w:val="18"/>
                      <w14:textFill>
                        <w14:solidFill>
                          <w14:schemeClr w14:val="tx1"/>
                        </w14:solidFill>
                      </w14:textFill>
                    </w:rPr>
                  </w:pPr>
                </w:p>
              </w:tc>
              <w:tc>
                <w:tcPr>
                  <w:tcW w:w="1703" w:type="dxa"/>
                </w:tcPr>
                <w:p w14:paraId="209D0FC6">
                  <w:pPr>
                    <w:ind w:firstLine="360"/>
                    <w:jc w:val="left"/>
                    <w:rPr>
                      <w:rFonts w:ascii="Times New Roman" w:hAnsi="Times New Roman" w:cs="Times New Roman"/>
                      <w:color w:val="000000" w:themeColor="text1"/>
                      <w:sz w:val="18"/>
                      <w:szCs w:val="18"/>
                      <w14:textFill>
                        <w14:solidFill>
                          <w14:schemeClr w14:val="tx1"/>
                        </w14:solidFill>
                      </w14:textFill>
                    </w:rPr>
                  </w:pPr>
                </w:p>
              </w:tc>
              <w:tc>
                <w:tcPr>
                  <w:tcW w:w="1703" w:type="dxa"/>
                </w:tcPr>
                <w:p w14:paraId="4472D1E2">
                  <w:pPr>
                    <w:ind w:firstLine="360"/>
                    <w:jc w:val="left"/>
                    <w:rPr>
                      <w:rFonts w:ascii="Times New Roman" w:hAnsi="Times New Roman" w:cs="Times New Roman"/>
                      <w:color w:val="000000" w:themeColor="text1"/>
                      <w:sz w:val="18"/>
                      <w:szCs w:val="18"/>
                      <w14:textFill>
                        <w14:solidFill>
                          <w14:schemeClr w14:val="tx1"/>
                        </w14:solidFill>
                      </w14:textFill>
                    </w:rPr>
                  </w:pPr>
                </w:p>
              </w:tc>
            </w:tr>
          </w:tbl>
          <w:p w14:paraId="58FDA34B">
            <w:pPr>
              <w:ind w:firstLine="0" w:firstLineChars="0"/>
              <w:rPr>
                <w:rFonts w:ascii="Times New Roman" w:hAnsi="Times New Roman" w:cs="Times New Roman"/>
                <w:b/>
                <w:bCs/>
                <w:color w:val="000000" w:themeColor="text1"/>
                <w:sz w:val="18"/>
                <w:szCs w:val="18"/>
                <w14:textFill>
                  <w14:solidFill>
                    <w14:schemeClr w14:val="tx1"/>
                  </w14:solidFill>
                </w14:textFill>
              </w:rPr>
            </w:pPr>
          </w:p>
        </w:tc>
      </w:tr>
      <w:tr w14:paraId="033A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90" w:hRule="atLeast"/>
          <w:jc w:val="center"/>
        </w:trPr>
        <w:tc>
          <w:tcPr>
            <w:tcW w:w="1389" w:type="dxa"/>
            <w:vAlign w:val="center"/>
          </w:tcPr>
          <w:p w14:paraId="47540A05">
            <w:pPr>
              <w:ind w:firstLine="0" w:firstLineChars="0"/>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药学评估结果</w:t>
            </w:r>
          </w:p>
          <w:p w14:paraId="7E114AF0">
            <w:pPr>
              <w:ind w:firstLine="0" w:firstLineChars="0"/>
              <w:jc w:val="left"/>
              <w:rPr>
                <w:rFonts w:ascii="Times New Roman" w:hAnsi="Times New Roman" w:cs="Times New Roman"/>
                <w:b/>
                <w:bCs/>
                <w:color w:val="000000" w:themeColor="text1"/>
                <w:sz w:val="18"/>
                <w:szCs w:val="18"/>
                <w14:textFill>
                  <w14:solidFill>
                    <w14:schemeClr w14:val="tx1"/>
                  </w14:solidFill>
                </w14:textFill>
              </w:rPr>
            </w:pPr>
          </w:p>
        </w:tc>
        <w:tc>
          <w:tcPr>
            <w:tcW w:w="7026" w:type="dxa"/>
            <w:gridSpan w:val="9"/>
            <w:vAlign w:val="center"/>
          </w:tcPr>
          <w:p w14:paraId="7874D351">
            <w:pPr>
              <w:ind w:firstLine="0" w:firstLineChars="0"/>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患者一般情况评估结果：</w:t>
            </w:r>
          </w:p>
          <w:p w14:paraId="34DBCDA0">
            <w:pPr>
              <w:ind w:firstLine="0" w:firstLineChars="0"/>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患者生活方式评估结果：</w:t>
            </w:r>
          </w:p>
          <w:p w14:paraId="6F6C4F0F">
            <w:pPr>
              <w:ind w:firstLine="0" w:firstLineChars="0"/>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既往用药依从性评估结果：</w:t>
            </w:r>
          </w:p>
          <w:p w14:paraId="2921EDC8">
            <w:pPr>
              <w:ind w:firstLine="0" w:firstLineChars="0"/>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一般医药知识评估结果：</w:t>
            </w:r>
          </w:p>
          <w:p w14:paraId="15ABEAE6">
            <w:pPr>
              <w:ind w:firstLine="0" w:firstLineChars="0"/>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药学评估结论：</w:t>
            </w:r>
          </w:p>
          <w:p w14:paraId="7F5F39D7">
            <w:pPr>
              <w:ind w:firstLine="0" w:firstLineChars="0"/>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i/>
                <w:iCs/>
                <w:color w:val="000000" w:themeColor="text1"/>
                <w:sz w:val="18"/>
                <w:szCs w:val="18"/>
                <w14:textFill>
                  <w14:solidFill>
                    <w14:schemeClr w14:val="tx1"/>
                  </w14:solidFill>
                </w14:textFill>
              </w:rPr>
              <w:t>注：本部分根据《住院药历书写基本规范》药学评估表进行评估。</w:t>
            </w:r>
            <w:r>
              <w:rPr>
                <w:rFonts w:hint="eastAsia" w:ascii="Times New Roman" w:hAnsi="Times New Roman" w:cs="Times New Roman"/>
                <w:color w:val="000000" w:themeColor="text1"/>
                <w:sz w:val="18"/>
                <w:szCs w:val="18"/>
                <w14:textFill>
                  <w14:solidFill>
                    <w14:schemeClr w14:val="tx1"/>
                  </w14:solidFill>
                </w14:textFill>
              </w:rPr>
              <w:t>）</w:t>
            </w:r>
          </w:p>
        </w:tc>
      </w:tr>
      <w:tr w14:paraId="25A6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1280" w:hRule="atLeast"/>
          <w:jc w:val="center"/>
        </w:trPr>
        <w:tc>
          <w:tcPr>
            <w:tcW w:w="1389" w:type="dxa"/>
            <w:vAlign w:val="center"/>
          </w:tcPr>
          <w:p w14:paraId="05CE8B8A">
            <w:pPr>
              <w:ind w:firstLine="0" w:firstLineChars="0"/>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药学监护计划</w:t>
            </w:r>
          </w:p>
        </w:tc>
        <w:tc>
          <w:tcPr>
            <w:tcW w:w="7026" w:type="dxa"/>
            <w:gridSpan w:val="9"/>
            <w:vAlign w:val="center"/>
          </w:tcPr>
          <w:p w14:paraId="5FCBCF4D">
            <w:pPr>
              <w:numPr>
                <w:ilvl w:val="0"/>
                <w:numId w:val="3"/>
              </w:numPr>
              <w:spacing w:line="240" w:lineRule="auto"/>
              <w:ind w:firstLine="361"/>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安全性监护</w:t>
            </w:r>
            <w:r>
              <w:rPr>
                <w:rFonts w:hint="eastAsia"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i/>
                <w:iCs/>
                <w:color w:val="000000" w:themeColor="text1"/>
                <w:sz w:val="18"/>
                <w:szCs w:val="18"/>
                <w14:textFill>
                  <w14:solidFill>
                    <w14:schemeClr w14:val="tx1"/>
                  </w14:solidFill>
                </w14:textFill>
              </w:rPr>
              <w:t>注：监护患者在院用药情况，通过观察及辅助检查确定药物疗效，用药是否出现不良反应，并及时调整药物，重点监护包括抗血小板、他汀类、</w:t>
            </w:r>
            <w:r>
              <w:rPr>
                <w:rFonts w:ascii="Times New Roman" w:hAnsi="Times New Roman" w:cs="Times New Roman"/>
                <w:i/>
                <w:iCs/>
                <w:color w:val="000000" w:themeColor="text1"/>
                <w:sz w:val="18"/>
                <w:szCs w:val="18"/>
                <w14:textFill>
                  <w14:solidFill>
                    <w14:schemeClr w14:val="tx1"/>
                  </w14:solidFill>
                </w14:textFill>
              </w:rPr>
              <w:t>β</w:t>
            </w:r>
            <w:r>
              <w:rPr>
                <w:rFonts w:hint="eastAsia" w:ascii="Times New Roman" w:hAnsi="Times New Roman" w:cs="Times New Roman"/>
                <w:i/>
                <w:iCs/>
                <w:color w:val="000000" w:themeColor="text1"/>
                <w:sz w:val="18"/>
                <w:szCs w:val="18"/>
                <w14:textFill>
                  <w14:solidFill>
                    <w14:schemeClr w14:val="tx1"/>
                  </w14:solidFill>
                </w14:textFill>
              </w:rPr>
              <w:t>受体阻滞剂、ACEI/ARB类药物、抗凝药物。</w:t>
            </w:r>
            <w:r>
              <w:rPr>
                <w:rFonts w:hint="eastAsia" w:ascii="Times New Roman" w:hAnsi="Times New Roman" w:cs="Times New Roman"/>
                <w:color w:val="000000" w:themeColor="text1"/>
                <w:sz w:val="18"/>
                <w:szCs w:val="18"/>
                <w14:textFill>
                  <w14:solidFill>
                    <w14:schemeClr w14:val="tx1"/>
                  </w14:solidFill>
                </w14:textFill>
              </w:rPr>
              <w:t>）</w:t>
            </w:r>
          </w:p>
          <w:p w14:paraId="28DCA737">
            <w:pPr>
              <w:numPr>
                <w:ilvl w:val="0"/>
                <w:numId w:val="3"/>
              </w:numPr>
              <w:spacing w:line="240" w:lineRule="auto"/>
              <w:ind w:firstLine="361"/>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有效性监护</w:t>
            </w:r>
            <w:r>
              <w:rPr>
                <w:rFonts w:hint="eastAsia"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i/>
                <w:iCs/>
                <w:color w:val="000000" w:themeColor="text1"/>
                <w:sz w:val="18"/>
                <w:szCs w:val="18"/>
                <w14:textFill>
                  <w14:solidFill>
                    <w14:schemeClr w14:val="tx1"/>
                  </w14:solidFill>
                </w14:textFill>
              </w:rPr>
              <w:t>注：从患者疾病的症状体征变化、辅助检查结果、血脂控制目标、心率控制目标、血压和血糖控制目标等进行有效性监护。</w:t>
            </w:r>
            <w:r>
              <w:rPr>
                <w:rFonts w:hint="eastAsia" w:ascii="Times New Roman" w:hAnsi="Times New Roman" w:cs="Times New Roman"/>
                <w:color w:val="000000" w:themeColor="text1"/>
                <w:sz w:val="18"/>
                <w:szCs w:val="18"/>
                <w14:textFill>
                  <w14:solidFill>
                    <w14:schemeClr w14:val="tx1"/>
                  </w14:solidFill>
                </w14:textFill>
              </w:rPr>
              <w:t>）</w:t>
            </w:r>
          </w:p>
          <w:p w14:paraId="3407A2E7">
            <w:pPr>
              <w:numPr>
                <w:ilvl w:val="0"/>
                <w:numId w:val="3"/>
              </w:numPr>
              <w:spacing w:line="240" w:lineRule="auto"/>
              <w:ind w:firstLine="361"/>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特殊人群监护</w:t>
            </w:r>
            <w:r>
              <w:rPr>
                <w:rFonts w:hint="eastAsia"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i/>
                <w:iCs/>
                <w:color w:val="000000" w:themeColor="text1"/>
                <w:sz w:val="18"/>
                <w:szCs w:val="18"/>
                <w14:textFill>
                  <w14:solidFill>
                    <w14:schemeClr w14:val="tx1"/>
                  </w14:solidFill>
                </w14:textFill>
              </w:rPr>
              <w:t>注：老年患者可参考本团标整理的《老年冠心病患者使用潜在不适当用药目录》、《老年冠心病患者药物-药物相互作用表》及《老年和冠心病患者高风险药物替代方案》，监护患者是否使用本目录内药品，若使用对患者进行监护；儿童、妊娠期及哺乳期以及肝肾功能不全者根据患者情况实施监护。</w:t>
            </w:r>
            <w:r>
              <w:rPr>
                <w:rFonts w:hint="eastAsia" w:ascii="Times New Roman" w:hAnsi="Times New Roman" w:cs="Times New Roman"/>
                <w:color w:val="000000" w:themeColor="text1"/>
                <w:sz w:val="18"/>
                <w:szCs w:val="18"/>
                <w14:textFill>
                  <w14:solidFill>
                    <w14:schemeClr w14:val="tx1"/>
                  </w14:solidFill>
                </w14:textFill>
              </w:rPr>
              <w:t>）</w:t>
            </w:r>
          </w:p>
          <w:p w14:paraId="24013B0E">
            <w:pPr>
              <w:numPr>
                <w:ilvl w:val="0"/>
                <w:numId w:val="3"/>
              </w:numPr>
              <w:spacing w:line="240" w:lineRule="auto"/>
              <w:ind w:firstLine="361"/>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特殊合并症人群监护（</w:t>
            </w:r>
            <w:r>
              <w:rPr>
                <w:rFonts w:hint="eastAsia" w:ascii="Times New Roman" w:hAnsi="Times New Roman" w:cs="Times New Roman"/>
                <w:i/>
                <w:iCs/>
                <w:color w:val="000000" w:themeColor="text1"/>
                <w:sz w:val="18"/>
                <w:szCs w:val="18"/>
                <w14:textFill>
                  <w14:solidFill>
                    <w14:schemeClr w14:val="tx1"/>
                  </w14:solidFill>
                </w14:textFill>
              </w:rPr>
              <w:t>注：分析患者是否有合并疾病的情况，对其进行重点监护。冠心病常见合并疾病包括高血压、糖尿病、血脂异常、心房颤动、心力衰竭。</w:t>
            </w:r>
            <w:r>
              <w:rPr>
                <w:rFonts w:hint="eastAsia" w:ascii="Times New Roman" w:hAnsi="Times New Roman" w:cs="Times New Roman"/>
                <w:color w:val="000000" w:themeColor="text1"/>
                <w:sz w:val="18"/>
                <w:szCs w:val="18"/>
                <w14:textFill>
                  <w14:solidFill>
                    <w14:schemeClr w14:val="tx1"/>
                  </w14:solidFill>
                </w14:textFill>
              </w:rPr>
              <w:t>）</w:t>
            </w:r>
          </w:p>
          <w:p w14:paraId="5E435855">
            <w:pPr>
              <w:numPr>
                <w:ilvl w:val="0"/>
                <w:numId w:val="3"/>
              </w:numPr>
              <w:spacing w:line="240" w:lineRule="auto"/>
              <w:ind w:firstLine="361"/>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医保费用情况</w:t>
            </w:r>
            <w:r>
              <w:rPr>
                <w:rFonts w:hint="eastAsia"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i/>
                <w:iCs/>
                <w:color w:val="000000" w:themeColor="text1"/>
                <w:sz w:val="18"/>
                <w:szCs w:val="18"/>
                <w14:textFill>
                  <w14:solidFill>
                    <w14:schemeClr w14:val="tx1"/>
                  </w14:solidFill>
                </w14:textFill>
              </w:rPr>
              <w:t>注：统计患者药物治疗方案中各类药物的费用占比情况，包括药品使用金额占比和自费药品使用金额占比。</w:t>
            </w:r>
            <w:r>
              <w:rPr>
                <w:rFonts w:hint="eastAsia" w:ascii="Times New Roman" w:hAnsi="Times New Roman" w:cs="Times New Roman"/>
                <w:color w:val="000000" w:themeColor="text1"/>
                <w:sz w:val="18"/>
                <w:szCs w:val="18"/>
                <w14:textFill>
                  <w14:solidFill>
                    <w14:schemeClr w14:val="tx1"/>
                  </w14:solidFill>
                </w14:textFill>
              </w:rPr>
              <w:t>）</w:t>
            </w:r>
          </w:p>
          <w:p w14:paraId="58A0A352">
            <w:pPr>
              <w:numPr>
                <w:ilvl w:val="0"/>
                <w:numId w:val="3"/>
              </w:numPr>
              <w:spacing w:line="240" w:lineRule="auto"/>
              <w:ind w:firstLine="361"/>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用药依从性</w:t>
            </w:r>
            <w:r>
              <w:rPr>
                <w:rFonts w:hint="eastAsia"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i/>
                <w:iCs/>
                <w:color w:val="000000" w:themeColor="text1"/>
                <w:sz w:val="18"/>
                <w:szCs w:val="18"/>
                <w14:textFill>
                  <w14:solidFill>
                    <w14:schemeClr w14:val="tx1"/>
                  </w14:solidFill>
                </w14:textFill>
              </w:rPr>
              <w:t>注：通过Morisky用药依从性量表，对患者的用药依从性进行评分，关注依从性差的患者分析影响其依从性的原因。</w:t>
            </w:r>
            <w:r>
              <w:rPr>
                <w:rFonts w:hint="eastAsia" w:ascii="Times New Roman" w:hAnsi="Times New Roman" w:cs="Times New Roman"/>
                <w:color w:val="000000" w:themeColor="text1"/>
                <w:sz w:val="18"/>
                <w:szCs w:val="18"/>
                <w14:textFill>
                  <w14:solidFill>
                    <w14:schemeClr w14:val="tx1"/>
                  </w14:solidFill>
                </w14:textFill>
              </w:rPr>
              <w:t>）</w:t>
            </w:r>
          </w:p>
        </w:tc>
      </w:tr>
      <w:tr w14:paraId="4D71E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571" w:hRule="atLeast"/>
          <w:jc w:val="center"/>
        </w:trPr>
        <w:tc>
          <w:tcPr>
            <w:tcW w:w="8415" w:type="dxa"/>
            <w:gridSpan w:val="10"/>
            <w:vAlign w:val="center"/>
          </w:tcPr>
          <w:p w14:paraId="7E2E3345">
            <w:pPr>
              <w:numPr>
                <w:ilvl w:val="255"/>
                <w:numId w:val="0"/>
              </w:numPr>
              <w:spacing w:line="240" w:lineRule="auto"/>
              <w:jc w:val="center"/>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药学监护记录</w:t>
            </w:r>
          </w:p>
        </w:tc>
      </w:tr>
      <w:tr w14:paraId="3AAC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33" w:hRule="atLeast"/>
          <w:jc w:val="center"/>
        </w:trPr>
        <w:tc>
          <w:tcPr>
            <w:tcW w:w="8415" w:type="dxa"/>
            <w:gridSpan w:val="10"/>
            <w:vAlign w:val="center"/>
          </w:tcPr>
          <w:p w14:paraId="269C3578">
            <w:pPr>
              <w:spacing w:line="240" w:lineRule="auto"/>
              <w:ind w:firstLine="361"/>
              <w:jc w:val="left"/>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根据监护级别书写记录，危重患者或特殊需要时随时书写记录。记录应包括：*年*月*日 入院第*天</w:t>
            </w:r>
          </w:p>
          <w:p w14:paraId="51BBF47D">
            <w:pPr>
              <w:spacing w:line="240" w:lineRule="auto"/>
              <w:ind w:firstLine="361"/>
              <w:jc w:val="left"/>
              <w:rPr>
                <w:rFonts w:ascii="宋体" w:hAnsi="宋体" w:cs="宋体"/>
                <w:i/>
                <w:i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生命体征：</w:t>
            </w:r>
            <w:r>
              <w:rPr>
                <w:rFonts w:hint="eastAsia" w:ascii="宋体" w:hAnsi="宋体" w:cs="宋体"/>
                <w:i/>
                <w:iCs/>
                <w:color w:val="000000" w:themeColor="text1"/>
                <w:sz w:val="18"/>
                <w:szCs w:val="18"/>
                <w14:textFill>
                  <w14:solidFill>
                    <w14:schemeClr w14:val="tx1"/>
                  </w14:solidFill>
                </w14:textFill>
              </w:rPr>
              <w:t>体温、心率、呼吸、血压为必填项</w:t>
            </w:r>
          </w:p>
          <w:p w14:paraId="329F4C95">
            <w:pPr>
              <w:spacing w:line="240" w:lineRule="auto"/>
              <w:ind w:firstLine="361"/>
              <w:jc w:val="left"/>
              <w:rPr>
                <w:rFonts w:ascii="宋体" w:hAnsi="宋体" w:cs="宋体"/>
                <w:b/>
                <w:bCs/>
                <w:i/>
                <w:i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监护计划执行情况：</w:t>
            </w:r>
            <w:r>
              <w:rPr>
                <w:rFonts w:hint="eastAsia" w:ascii="宋体" w:hAnsi="宋体" w:cs="宋体"/>
                <w:i/>
                <w:iCs/>
                <w:color w:val="000000" w:themeColor="text1"/>
                <w:sz w:val="18"/>
                <w:szCs w:val="18"/>
                <w14:textFill>
                  <w14:solidFill>
                    <w14:schemeClr w14:val="tx1"/>
                  </w14:solidFill>
                </w14:textFill>
              </w:rPr>
              <w:t>根据制定的监护计划，记录患者的病情变化、合理用药情况、医保费用和其他药事管理指标变化情况等</w:t>
            </w:r>
          </w:p>
          <w:p w14:paraId="2449BC8F">
            <w:pPr>
              <w:spacing w:line="240" w:lineRule="auto"/>
              <w:ind w:firstLine="361"/>
              <w:jc w:val="left"/>
              <w:rPr>
                <w:rFonts w:ascii="宋体" w:hAnsi="宋体" w:cs="宋体"/>
                <w:i/>
                <w:i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药物治疗方案调整：</w:t>
            </w:r>
            <w:r>
              <w:rPr>
                <w:rFonts w:hint="eastAsia" w:ascii="宋体" w:hAnsi="宋体" w:cs="宋体"/>
                <w:i/>
                <w:iCs/>
                <w:color w:val="000000" w:themeColor="text1"/>
                <w:sz w:val="18"/>
                <w:szCs w:val="18"/>
                <w14:textFill>
                  <w14:solidFill>
                    <w14:schemeClr w14:val="tx1"/>
                  </w14:solidFill>
                </w14:textFill>
              </w:rPr>
              <w:t>治疗方案中所有停用、增加或调整剂量药物</w:t>
            </w:r>
          </w:p>
          <w:p w14:paraId="3BD377EA">
            <w:pPr>
              <w:numPr>
                <w:ilvl w:val="255"/>
                <w:numId w:val="0"/>
              </w:numPr>
              <w:spacing w:line="240" w:lineRule="auto"/>
              <w:ind w:firstLine="361" w:firstLineChars="200"/>
              <w:rPr>
                <w:rFonts w:ascii="Times New Roman" w:hAnsi="Times New Roman" w:cs="Times New Roman"/>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药学监护计划调整：</w:t>
            </w:r>
            <w:r>
              <w:rPr>
                <w:rFonts w:hint="eastAsia" w:ascii="宋体" w:hAnsi="宋体" w:cs="宋体"/>
                <w:i/>
                <w:iCs/>
                <w:color w:val="000000" w:themeColor="text1"/>
                <w:sz w:val="18"/>
                <w:szCs w:val="18"/>
                <w14:textFill>
                  <w14:solidFill>
                    <w14:schemeClr w14:val="tx1"/>
                  </w14:solidFill>
                </w14:textFill>
              </w:rPr>
              <w:t>治疗方案调整时针对增加的药物</w:t>
            </w:r>
          </w:p>
        </w:tc>
      </w:tr>
      <w:tr w14:paraId="2976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1280" w:hRule="atLeast"/>
          <w:jc w:val="center"/>
        </w:trPr>
        <w:tc>
          <w:tcPr>
            <w:tcW w:w="1389" w:type="dxa"/>
            <w:vAlign w:val="center"/>
          </w:tcPr>
          <w:p w14:paraId="7A73D925">
            <w:pPr>
              <w:ind w:firstLine="0" w:firstLineChars="0"/>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药物治疗相关问题的干预及效果</w:t>
            </w:r>
          </w:p>
        </w:tc>
        <w:tc>
          <w:tcPr>
            <w:tcW w:w="7026" w:type="dxa"/>
            <w:gridSpan w:val="9"/>
            <w:vAlign w:val="center"/>
          </w:tcPr>
          <w:p w14:paraId="495E631E">
            <w:pPr>
              <w:numPr>
                <w:ilvl w:val="255"/>
                <w:numId w:val="0"/>
              </w:numPr>
              <w:spacing w:line="240" w:lineRule="auto"/>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药物治疗相关问题的干预措施及效果：</w:t>
            </w:r>
          </w:p>
          <w:p w14:paraId="450D4758">
            <w:pPr>
              <w:numPr>
                <w:ilvl w:val="255"/>
                <w:numId w:val="0"/>
              </w:numPr>
              <w:spacing w:line="240" w:lineRule="auto"/>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生活方式相关问题的干预措施及效果：</w:t>
            </w:r>
          </w:p>
        </w:tc>
      </w:tr>
      <w:tr w14:paraId="391F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8424" w:type="dxa"/>
            <w:gridSpan w:val="11"/>
            <w:vAlign w:val="center"/>
          </w:tcPr>
          <w:p w14:paraId="515B5D83">
            <w:pPr>
              <w:ind w:firstLine="0" w:firstLineChars="0"/>
              <w:jc w:val="center"/>
              <w:rPr>
                <w:rFonts w:ascii="宋体" w:hAnsi="宋体" w:cs="宋体"/>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出院用药教育</w:t>
            </w:r>
          </w:p>
        </w:tc>
      </w:tr>
      <w:tr w14:paraId="2545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8424" w:type="dxa"/>
            <w:gridSpan w:val="11"/>
            <w:vAlign w:val="center"/>
          </w:tcPr>
          <w:p w14:paraId="030939AD">
            <w:pPr>
              <w:spacing w:line="240" w:lineRule="auto"/>
              <w:ind w:firstLine="0" w:firstLineChars="0"/>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根据患者出院时病情和用药情况详实记录对患者的用药教育内容。</w:t>
            </w:r>
          </w:p>
          <w:p w14:paraId="13F64D75">
            <w:pPr>
              <w:spacing w:line="240" w:lineRule="auto"/>
              <w:ind w:firstLine="0" w:firstLineChars="0"/>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主要包含以下几方面：</w:t>
            </w:r>
          </w:p>
          <w:p w14:paraId="6B065067">
            <w:pPr>
              <w:spacing w:line="240" w:lineRule="auto"/>
              <w:ind w:firstLine="0" w:firstLineChars="0"/>
              <w:rPr>
                <w:rFonts w:ascii="宋体" w:hAnsi="宋体" w:cs="宋体"/>
                <w:i/>
                <w:i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①</w:t>
            </w:r>
            <w:r>
              <w:rPr>
                <w:rFonts w:hint="eastAsia" w:ascii="宋体" w:hAnsi="宋体" w:cs="宋体"/>
                <w:i/>
                <w:iCs/>
                <w:color w:val="000000" w:themeColor="text1"/>
                <w:sz w:val="18"/>
                <w:szCs w:val="18"/>
                <w14:textFill>
                  <w14:solidFill>
                    <w14:schemeClr w14:val="tx1"/>
                  </w14:solidFill>
                </w14:textFill>
              </w:rPr>
              <w:t>患者药物治疗和疾病发展现状及其预后；</w:t>
            </w:r>
          </w:p>
          <w:p w14:paraId="6C477A86">
            <w:pPr>
              <w:spacing w:line="240" w:lineRule="auto"/>
              <w:ind w:firstLine="0" w:firstLineChars="0"/>
              <w:rPr>
                <w:rFonts w:ascii="宋体" w:hAnsi="宋体" w:cs="宋体"/>
                <w:i/>
                <w:i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②</w:t>
            </w:r>
            <w:r>
              <w:rPr>
                <w:rFonts w:hint="eastAsia" w:ascii="宋体" w:hAnsi="宋体" w:cs="宋体"/>
                <w:i/>
                <w:iCs/>
                <w:color w:val="000000" w:themeColor="text1"/>
                <w:sz w:val="18"/>
                <w:szCs w:val="18"/>
                <w14:textFill>
                  <w14:solidFill>
                    <w14:schemeClr w14:val="tx1"/>
                  </w14:solidFill>
                </w14:textFill>
              </w:rPr>
              <w:t>出院用药注意事项，包括药物的服用周期、用法用量、潜在的药物不良反应及预防和处理方法、药物与药物之间或药物与食物之间的相互作用、药品的贮存条件等；</w:t>
            </w:r>
          </w:p>
          <w:p w14:paraId="0D34514E">
            <w:pPr>
              <w:spacing w:line="240" w:lineRule="auto"/>
              <w:ind w:firstLine="0" w:firstLineChars="0"/>
              <w:rPr>
                <w:rFonts w:ascii="宋体" w:hAnsi="宋体" w:cs="宋体"/>
                <w:i/>
                <w:i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③</w:t>
            </w:r>
            <w:r>
              <w:rPr>
                <w:rFonts w:hint="eastAsia" w:ascii="宋体" w:hAnsi="宋体" w:cs="宋体"/>
                <w:i/>
                <w:iCs/>
                <w:color w:val="000000" w:themeColor="text1"/>
                <w:sz w:val="18"/>
                <w:szCs w:val="18"/>
                <w14:textFill>
                  <w14:solidFill>
                    <w14:schemeClr w14:val="tx1"/>
                  </w14:solidFill>
                </w14:textFill>
              </w:rPr>
              <w:t>患者应定期监测的指标与复查周期；</w:t>
            </w:r>
          </w:p>
          <w:p w14:paraId="2B1FE319">
            <w:pPr>
              <w:spacing w:line="240" w:lineRule="auto"/>
              <w:ind w:firstLine="0" w:firstLineChars="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④</w:t>
            </w:r>
            <w:r>
              <w:rPr>
                <w:rFonts w:hint="eastAsia" w:ascii="宋体" w:hAnsi="宋体" w:cs="宋体"/>
                <w:i/>
                <w:iCs/>
                <w:color w:val="000000" w:themeColor="text1"/>
                <w:sz w:val="18"/>
                <w:szCs w:val="18"/>
                <w14:textFill>
                  <w14:solidFill>
                    <w14:schemeClr w14:val="tx1"/>
                  </w14:solidFill>
                </w14:textFill>
              </w:rPr>
              <w:t>出院后的生活方式及注意事项；</w:t>
            </w:r>
          </w:p>
          <w:p w14:paraId="0157EDAF">
            <w:pPr>
              <w:spacing w:line="240" w:lineRule="auto"/>
              <w:ind w:firstLine="0" w:firstLineChars="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⑤</w:t>
            </w:r>
            <w:r>
              <w:rPr>
                <w:rFonts w:hint="eastAsia" w:ascii="宋体" w:hAnsi="宋体" w:cs="宋体"/>
                <w:i/>
                <w:iCs/>
                <w:color w:val="000000" w:themeColor="text1"/>
                <w:sz w:val="18"/>
                <w:szCs w:val="18"/>
                <w14:textFill>
                  <w14:solidFill>
                    <w14:schemeClr w14:val="tx1"/>
                  </w14:solidFill>
                </w14:textFill>
              </w:rPr>
              <w:t>需随访患者的药学随访计划。</w:t>
            </w:r>
          </w:p>
        </w:tc>
      </w:tr>
      <w:tr w14:paraId="759E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424" w:type="dxa"/>
            <w:gridSpan w:val="11"/>
            <w:vAlign w:val="center"/>
          </w:tcPr>
          <w:p w14:paraId="091B4124">
            <w:pPr>
              <w:ind w:firstLine="0" w:firstLineChars="0"/>
              <w:jc w:val="center"/>
              <w:rPr>
                <w:rFonts w:ascii="宋体" w:hAnsi="宋体" w:cs="宋体"/>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药学监护小结</w:t>
            </w:r>
          </w:p>
        </w:tc>
      </w:tr>
      <w:tr w14:paraId="66A7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424" w:type="dxa"/>
            <w:gridSpan w:val="11"/>
            <w:vAlign w:val="center"/>
          </w:tcPr>
          <w:p w14:paraId="67BA06E3">
            <w:pPr>
              <w:spacing w:line="240" w:lineRule="auto"/>
              <w:ind w:firstLine="0" w:firstLineChars="0"/>
              <w:rPr>
                <w:rFonts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入院日期：</w:t>
            </w:r>
            <w:r>
              <w:rPr>
                <w:rFonts w:hint="eastAsia" w:ascii="宋体" w:hAnsi="宋体" w:cs="宋体"/>
                <w:b/>
                <w:bCs/>
                <w:color w:val="000000" w:themeColor="text1"/>
                <w:sz w:val="18"/>
                <w:szCs w:val="18"/>
                <w:u w:val="single"/>
                <w14:textFill>
                  <w14:solidFill>
                    <w14:schemeClr w14:val="tx1"/>
                  </w14:solidFill>
                </w14:textFill>
              </w:rPr>
              <w:t xml:space="preserve">          </w:t>
            </w:r>
            <w:r>
              <w:rPr>
                <w:rFonts w:hint="eastAsia" w:ascii="宋体" w:hAnsi="宋体" w:cs="宋体"/>
                <w:b/>
                <w:bCs/>
                <w:color w:val="000000" w:themeColor="text1"/>
                <w:sz w:val="18"/>
                <w:szCs w:val="18"/>
                <w14:textFill>
                  <w14:solidFill>
                    <w14:schemeClr w14:val="tx1"/>
                  </w14:solidFill>
                </w14:textFill>
              </w:rPr>
              <w:t xml:space="preserve">      出院日期：</w:t>
            </w:r>
            <w:r>
              <w:rPr>
                <w:rFonts w:hint="eastAsia" w:ascii="宋体" w:hAnsi="宋体" w:cs="宋体"/>
                <w:b/>
                <w:bCs/>
                <w:color w:val="000000" w:themeColor="text1"/>
                <w:sz w:val="18"/>
                <w:szCs w:val="18"/>
                <w:u w:val="single"/>
                <w14:textFill>
                  <w14:solidFill>
                    <w14:schemeClr w14:val="tx1"/>
                  </w14:solidFill>
                </w14:textFill>
              </w:rPr>
              <w:t xml:space="preserve">          </w:t>
            </w:r>
            <w:r>
              <w:rPr>
                <w:rFonts w:hint="eastAsia" w:ascii="宋体" w:hAnsi="宋体" w:cs="宋体"/>
                <w:b/>
                <w:bCs/>
                <w:color w:val="000000" w:themeColor="text1"/>
                <w:sz w:val="18"/>
                <w:szCs w:val="18"/>
                <w14:textFill>
                  <w14:solidFill>
                    <w14:schemeClr w14:val="tx1"/>
                  </w14:solidFill>
                </w14:textFill>
              </w:rPr>
              <w:t xml:space="preserve">      住院天数：</w:t>
            </w:r>
            <w:r>
              <w:rPr>
                <w:rFonts w:hint="eastAsia" w:ascii="宋体" w:hAnsi="宋体" w:cs="宋体"/>
                <w:b/>
                <w:bCs/>
                <w:color w:val="000000" w:themeColor="text1"/>
                <w:sz w:val="18"/>
                <w:szCs w:val="18"/>
                <w:u w:val="single"/>
                <w14:textFill>
                  <w14:solidFill>
                    <w14:schemeClr w14:val="tx1"/>
                  </w14:solidFill>
                </w14:textFill>
              </w:rPr>
              <w:t xml:space="preserve">          </w:t>
            </w:r>
          </w:p>
        </w:tc>
      </w:tr>
      <w:tr w14:paraId="5E08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1021" w:hRule="atLeast"/>
          <w:jc w:val="center"/>
        </w:trPr>
        <w:tc>
          <w:tcPr>
            <w:tcW w:w="1389" w:type="dxa"/>
            <w:vAlign w:val="center"/>
          </w:tcPr>
          <w:p w14:paraId="3230D6C4">
            <w:pPr>
              <w:ind w:firstLine="0" w:firstLineChars="0"/>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出院记录</w:t>
            </w:r>
          </w:p>
        </w:tc>
        <w:tc>
          <w:tcPr>
            <w:tcW w:w="7026" w:type="dxa"/>
            <w:gridSpan w:val="9"/>
            <w:vAlign w:val="center"/>
          </w:tcPr>
          <w:p w14:paraId="16ABF5FF">
            <w:pPr>
              <w:spacing w:line="240" w:lineRule="auto"/>
              <w:ind w:firstLine="0" w:firstLineChars="0"/>
              <w:rPr>
                <w:rFonts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出院诊断：</w:t>
            </w:r>
          </w:p>
        </w:tc>
      </w:tr>
      <w:tr w14:paraId="4625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1822" w:hRule="atLeast"/>
          <w:jc w:val="center"/>
        </w:trPr>
        <w:tc>
          <w:tcPr>
            <w:tcW w:w="1389" w:type="dxa"/>
            <w:vAlign w:val="center"/>
          </w:tcPr>
          <w:p w14:paraId="1897D90B">
            <w:pPr>
              <w:ind w:firstLine="0" w:firstLineChars="0"/>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住院期间治疗药物汇总</w:t>
            </w:r>
          </w:p>
        </w:tc>
        <w:tc>
          <w:tcPr>
            <w:tcW w:w="7026" w:type="dxa"/>
            <w:gridSpan w:val="9"/>
            <w:vAlign w:val="center"/>
          </w:tcPr>
          <w:tbl>
            <w:tblPr>
              <w:tblStyle w:val="26"/>
              <w:tblW w:w="6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702"/>
              <w:gridCol w:w="1703"/>
              <w:gridCol w:w="1703"/>
            </w:tblGrid>
            <w:tr w14:paraId="2B60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2" w:type="dxa"/>
                  <w:vAlign w:val="center"/>
                </w:tcPr>
                <w:p w14:paraId="146E43FB">
                  <w:pPr>
                    <w:spacing w:line="240" w:lineRule="auto"/>
                    <w:ind w:firstLine="0" w:firstLineChars="0"/>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用药目的</w:t>
                  </w:r>
                </w:p>
              </w:tc>
              <w:tc>
                <w:tcPr>
                  <w:tcW w:w="1702" w:type="dxa"/>
                  <w:vAlign w:val="center"/>
                </w:tcPr>
                <w:p w14:paraId="6532A483">
                  <w:pPr>
                    <w:spacing w:line="240" w:lineRule="auto"/>
                    <w:ind w:firstLine="0" w:firstLineChars="0"/>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药物名称</w:t>
                  </w:r>
                </w:p>
                <w:p w14:paraId="62DE157F">
                  <w:pPr>
                    <w:spacing w:line="240" w:lineRule="auto"/>
                    <w:ind w:firstLine="0" w:firstLineChars="0"/>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（通用名称）</w:t>
                  </w:r>
                </w:p>
              </w:tc>
              <w:tc>
                <w:tcPr>
                  <w:tcW w:w="1703" w:type="dxa"/>
                  <w:vAlign w:val="center"/>
                </w:tcPr>
                <w:p w14:paraId="7CEB9627">
                  <w:pPr>
                    <w:spacing w:line="240" w:lineRule="auto"/>
                    <w:ind w:firstLine="0" w:firstLineChars="0"/>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用法用量</w:t>
                  </w:r>
                </w:p>
              </w:tc>
              <w:tc>
                <w:tcPr>
                  <w:tcW w:w="1703" w:type="dxa"/>
                  <w:vAlign w:val="center"/>
                </w:tcPr>
                <w:p w14:paraId="74EC6162">
                  <w:pPr>
                    <w:spacing w:line="240" w:lineRule="auto"/>
                    <w:ind w:firstLine="0" w:firstLineChars="0"/>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起--止日期</w:t>
                  </w:r>
                </w:p>
              </w:tc>
            </w:tr>
            <w:tr w14:paraId="74C7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3D7E0E35">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c>
                <w:tcPr>
                  <w:tcW w:w="1702" w:type="dxa"/>
                </w:tcPr>
                <w:p w14:paraId="27F3E4EB">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c>
                <w:tcPr>
                  <w:tcW w:w="1703" w:type="dxa"/>
                </w:tcPr>
                <w:p w14:paraId="52A1C0CB">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c>
                <w:tcPr>
                  <w:tcW w:w="1703" w:type="dxa"/>
                </w:tcPr>
                <w:p w14:paraId="226E1925">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r>
            <w:tr w14:paraId="5ECF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1F0AA31D">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c>
                <w:tcPr>
                  <w:tcW w:w="1702" w:type="dxa"/>
                </w:tcPr>
                <w:p w14:paraId="76204C99">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c>
                <w:tcPr>
                  <w:tcW w:w="1703" w:type="dxa"/>
                </w:tcPr>
                <w:p w14:paraId="50278B35">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c>
                <w:tcPr>
                  <w:tcW w:w="1703" w:type="dxa"/>
                </w:tcPr>
                <w:p w14:paraId="18145363">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r>
            <w:tr w14:paraId="3E89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6279BC28">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c>
                <w:tcPr>
                  <w:tcW w:w="1702" w:type="dxa"/>
                </w:tcPr>
                <w:p w14:paraId="73344736">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c>
                <w:tcPr>
                  <w:tcW w:w="1703" w:type="dxa"/>
                </w:tcPr>
                <w:p w14:paraId="379CC60C">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c>
                <w:tcPr>
                  <w:tcW w:w="1703" w:type="dxa"/>
                </w:tcPr>
                <w:p w14:paraId="146695B3">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r>
            <w:tr w14:paraId="425E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14:paraId="4455D5BB">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c>
                <w:tcPr>
                  <w:tcW w:w="1702" w:type="dxa"/>
                </w:tcPr>
                <w:p w14:paraId="2BF53CA7">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c>
                <w:tcPr>
                  <w:tcW w:w="1703" w:type="dxa"/>
                </w:tcPr>
                <w:p w14:paraId="7A24A4B6">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c>
                <w:tcPr>
                  <w:tcW w:w="1703" w:type="dxa"/>
                </w:tcPr>
                <w:p w14:paraId="6ACFD659">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r>
          </w:tbl>
          <w:p w14:paraId="4FD554DE">
            <w:pPr>
              <w:spacing w:line="240" w:lineRule="auto"/>
              <w:ind w:firstLine="0" w:firstLineChars="0"/>
              <w:rPr>
                <w:rFonts w:ascii="宋体" w:hAnsi="宋体" w:cs="宋体"/>
                <w:b/>
                <w:bCs/>
                <w:color w:val="000000" w:themeColor="text1"/>
                <w:sz w:val="18"/>
                <w:szCs w:val="18"/>
                <w14:textFill>
                  <w14:solidFill>
                    <w14:schemeClr w14:val="tx1"/>
                  </w14:solidFill>
                </w14:textFill>
              </w:rPr>
            </w:pPr>
          </w:p>
        </w:tc>
      </w:tr>
      <w:tr w14:paraId="5C3D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1320" w:hRule="atLeast"/>
          <w:jc w:val="center"/>
        </w:trPr>
        <w:tc>
          <w:tcPr>
            <w:tcW w:w="1389" w:type="dxa"/>
            <w:vAlign w:val="center"/>
          </w:tcPr>
          <w:p w14:paraId="2DAEFD62">
            <w:pPr>
              <w:ind w:firstLine="0" w:firstLineChars="0"/>
              <w:jc w:val="left"/>
              <w:rPr>
                <w:rFonts w:ascii="Times New Roman" w:hAnsi="Times New Roman" w:cs="Times New Roman" w:eastAsiaTheme="minorEastAsia"/>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合理用药情况汇总</w:t>
            </w:r>
          </w:p>
        </w:tc>
        <w:tc>
          <w:tcPr>
            <w:tcW w:w="7026" w:type="dxa"/>
            <w:gridSpan w:val="9"/>
            <w:vAlign w:val="center"/>
          </w:tcPr>
          <w:p w14:paraId="2D3B6FD2">
            <w:pPr>
              <w:spacing w:line="240" w:lineRule="auto"/>
              <w:ind w:firstLine="0" w:firstLineChars="0"/>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i/>
                <w:iCs/>
                <w:color w:val="000000" w:themeColor="text1"/>
                <w:sz w:val="18"/>
                <w:szCs w:val="18"/>
                <w14:textFill>
                  <w14:solidFill>
                    <w14:schemeClr w14:val="tx1"/>
                  </w14:solidFill>
                </w14:textFill>
              </w:rPr>
              <w:t>汇总患者住院医嘱前置审核中所有需要医师双签的内容</w:t>
            </w:r>
          </w:p>
        </w:tc>
      </w:tr>
      <w:tr w14:paraId="3706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724" w:hRule="atLeast"/>
          <w:jc w:val="center"/>
        </w:trPr>
        <w:tc>
          <w:tcPr>
            <w:tcW w:w="1389" w:type="dxa"/>
            <w:vAlign w:val="center"/>
          </w:tcPr>
          <w:p w14:paraId="40AD5A6C">
            <w:pPr>
              <w:ind w:firstLine="0" w:firstLineChars="0"/>
              <w:jc w:val="left"/>
              <w:rPr>
                <w:rFonts w:ascii="Times New Roman" w:hAnsi="Times New Roman" w:cs="Times New Roman"/>
                <w:b/>
                <w:bCs/>
                <w:color w:val="000000" w:themeColor="text1"/>
                <w:sz w:val="18"/>
                <w:szCs w:val="18"/>
                <w14:textFill>
                  <w14:solidFill>
                    <w14:schemeClr w14:val="tx1"/>
                  </w14:solidFill>
                </w14:textFill>
              </w:rPr>
            </w:pPr>
            <w:r>
              <w:rPr>
                <w:rFonts w:hint="eastAsia" w:ascii="Times New Roman" w:hAnsi="Times New Roman" w:cs="Times New Roman"/>
                <w:b/>
                <w:bCs/>
                <w:color w:val="000000" w:themeColor="text1"/>
                <w:sz w:val="18"/>
                <w:szCs w:val="18"/>
                <w14:textFill>
                  <w14:solidFill>
                    <w14:schemeClr w14:val="tx1"/>
                  </w14:solidFill>
                </w14:textFill>
              </w:rPr>
              <w:t>医保费用指标汇总</w:t>
            </w:r>
          </w:p>
        </w:tc>
        <w:tc>
          <w:tcPr>
            <w:tcW w:w="7026" w:type="dxa"/>
            <w:gridSpan w:val="9"/>
          </w:tcPr>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2032"/>
            </w:tblGrid>
            <w:tr w14:paraId="7942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tcPr>
                <w:p w14:paraId="5572C8B6">
                  <w:pPr>
                    <w:spacing w:line="240" w:lineRule="auto"/>
                    <w:ind w:firstLine="36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指标</w:t>
                  </w:r>
                </w:p>
              </w:tc>
              <w:tc>
                <w:tcPr>
                  <w:tcW w:w="2032" w:type="dxa"/>
                </w:tcPr>
                <w:p w14:paraId="2F8AC20A">
                  <w:pPr>
                    <w:spacing w:line="240" w:lineRule="auto"/>
                    <w:ind w:firstLine="36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结果</w:t>
                  </w:r>
                </w:p>
              </w:tc>
            </w:tr>
            <w:tr w14:paraId="2C98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tcPr>
                <w:p w14:paraId="107BBFE1">
                  <w:pPr>
                    <w:spacing w:line="240" w:lineRule="auto"/>
                    <w:ind w:firstLine="36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住院患者药品使用金额占比</w:t>
                  </w:r>
                </w:p>
              </w:tc>
              <w:tc>
                <w:tcPr>
                  <w:tcW w:w="2032" w:type="dxa"/>
                </w:tcPr>
                <w:p w14:paraId="767CCB83">
                  <w:pPr>
                    <w:spacing w:line="240" w:lineRule="auto"/>
                    <w:ind w:firstLine="360"/>
                    <w:jc w:val="left"/>
                    <w:rPr>
                      <w:rFonts w:ascii="宋体" w:hAnsi="宋体" w:cs="宋体"/>
                      <w:color w:val="000000" w:themeColor="text1"/>
                      <w:sz w:val="18"/>
                      <w:szCs w:val="18"/>
                      <w14:textFill>
                        <w14:solidFill>
                          <w14:schemeClr w14:val="tx1"/>
                        </w14:solidFill>
                      </w14:textFill>
                    </w:rPr>
                  </w:pPr>
                </w:p>
              </w:tc>
            </w:tr>
            <w:tr w14:paraId="0B7F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tcPr>
                <w:p w14:paraId="6E332D24">
                  <w:pPr>
                    <w:spacing w:line="240" w:lineRule="auto"/>
                    <w:ind w:firstLine="36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住院患者自费药品使用金额占比</w:t>
                  </w:r>
                </w:p>
              </w:tc>
              <w:tc>
                <w:tcPr>
                  <w:tcW w:w="2032" w:type="dxa"/>
                </w:tcPr>
                <w:p w14:paraId="3C57B31E">
                  <w:pPr>
                    <w:spacing w:line="240" w:lineRule="auto"/>
                    <w:ind w:firstLine="360"/>
                    <w:jc w:val="left"/>
                    <w:rPr>
                      <w:rFonts w:ascii="宋体" w:hAnsi="宋体" w:cs="宋体"/>
                      <w:color w:val="000000" w:themeColor="text1"/>
                      <w:sz w:val="18"/>
                      <w:szCs w:val="18"/>
                      <w14:textFill>
                        <w14:solidFill>
                          <w14:schemeClr w14:val="tx1"/>
                        </w14:solidFill>
                      </w14:textFill>
                    </w:rPr>
                  </w:pPr>
                </w:p>
              </w:tc>
            </w:tr>
          </w:tbl>
          <w:p w14:paraId="2EF63970">
            <w:pPr>
              <w:spacing w:line="240" w:lineRule="auto"/>
              <w:ind w:firstLine="0" w:firstLineChars="0"/>
              <w:jc w:val="left"/>
              <w:rPr>
                <w:rFonts w:ascii="宋体" w:hAnsi="宋体" w:cs="宋体"/>
                <w:i/>
                <w:iCs/>
                <w:color w:val="000000" w:themeColor="text1"/>
                <w:sz w:val="18"/>
                <w:szCs w:val="18"/>
                <w14:textFill>
                  <w14:solidFill>
                    <w14:schemeClr w14:val="tx1"/>
                  </w14:solidFill>
                </w14:textFill>
              </w:rPr>
            </w:pPr>
          </w:p>
        </w:tc>
      </w:tr>
    </w:tbl>
    <w:p w14:paraId="0980E5E8">
      <w:pPr>
        <w:ind w:firstLine="360"/>
        <w:rPr>
          <w:color w:val="000000" w:themeColor="text1"/>
          <w14:textFill>
            <w14:solidFill>
              <w14:schemeClr w14:val="tx1"/>
            </w14:solidFill>
          </w14:textFill>
        </w:rPr>
      </w:pPr>
      <w:r>
        <w:rPr>
          <w:rFonts w:ascii="Times New Roman" w:hAnsi="Times New Roman" w:cs="Times New Roman"/>
          <w:color w:val="000000" w:themeColor="text1"/>
          <w:sz w:val="18"/>
          <w14:textFill>
            <w14:solidFill>
              <w14:schemeClr w14:val="tx1"/>
            </w14:solidFill>
          </w14:textFill>
        </w:rPr>
        <w:t>注：TC：总胆固醇，TG：甘油三酯，LDL-C：低密度脂蛋白胆固醇，HDL-C：高密度脂蛋白胆固醇，ALT：丙氨酸氨基转移酶，AST：天冬氨酸氨基转移酶，Cr：肌酐，CrCl：肌酐清除率，BUN：尿素氮。</w:t>
      </w:r>
    </w:p>
    <w:p w14:paraId="3100BB57">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041FCC14">
      <w:pPr>
        <w:pStyle w:val="89"/>
        <w:rPr>
          <w:color w:val="000000" w:themeColor="text1"/>
          <w14:textFill>
            <w14:solidFill>
              <w14:schemeClr w14:val="tx1"/>
            </w14:solidFill>
          </w14:textFill>
        </w:rPr>
      </w:pPr>
      <w:bookmarkStart w:id="188" w:name="_Toc19494"/>
      <w:bookmarkStart w:id="189" w:name="_Toc195469976"/>
      <w:bookmarkStart w:id="190" w:name="_Toc27927"/>
      <w:bookmarkStart w:id="191" w:name="_Toc29293"/>
      <w:r>
        <w:rPr>
          <w:rFonts w:hint="eastAsia"/>
          <w:color w:val="000000" w:themeColor="text1"/>
          <w14:textFill>
            <w14:solidFill>
              <w14:schemeClr w14:val="tx1"/>
            </w14:solidFill>
          </w14:textFill>
        </w:rPr>
        <w:t>附录 B</w:t>
      </w:r>
      <w:bookmarkEnd w:id="188"/>
      <w:bookmarkEnd w:id="189"/>
      <w:bookmarkEnd w:id="190"/>
      <w:bookmarkEnd w:id="191"/>
    </w:p>
    <w:p w14:paraId="52E4DC14">
      <w:pPr>
        <w:pStyle w:val="89"/>
        <w:rPr>
          <w:color w:val="000000" w:themeColor="text1"/>
          <w14:textFill>
            <w14:solidFill>
              <w14:schemeClr w14:val="tx1"/>
            </w14:solidFill>
          </w14:textFill>
        </w:rPr>
      </w:pPr>
      <w:bookmarkStart w:id="192" w:name="_Toc20806"/>
      <w:bookmarkStart w:id="193" w:name="_Toc32199"/>
      <w:bookmarkStart w:id="194" w:name="_Toc21645"/>
      <w:bookmarkStart w:id="195" w:name="_Toc195469977"/>
      <w:bookmarkStart w:id="196" w:name="_Toc195469313"/>
      <w:r>
        <w:rPr>
          <w:rFonts w:hint="eastAsia"/>
          <w:color w:val="000000" w:themeColor="text1"/>
          <w14:textFill>
            <w14:solidFill>
              <w14:schemeClr w14:val="tx1"/>
            </w14:solidFill>
          </w14:textFill>
        </w:rPr>
        <w:t>（资料性）</w:t>
      </w:r>
      <w:bookmarkEnd w:id="192"/>
      <w:bookmarkEnd w:id="193"/>
      <w:bookmarkEnd w:id="194"/>
      <w:bookmarkEnd w:id="195"/>
      <w:bookmarkEnd w:id="196"/>
    </w:p>
    <w:p w14:paraId="30DBC9AD">
      <w:pPr>
        <w:pStyle w:val="89"/>
        <w:rPr>
          <w:color w:val="000000" w:themeColor="text1"/>
          <w14:textFill>
            <w14:solidFill>
              <w14:schemeClr w14:val="tx1"/>
            </w14:solidFill>
          </w14:textFill>
        </w:rPr>
      </w:pPr>
      <w:bookmarkStart w:id="197" w:name="_Toc16230"/>
      <w:bookmarkStart w:id="198" w:name="_Toc195469314"/>
      <w:bookmarkStart w:id="199" w:name="_Toc195469978"/>
      <w:bookmarkStart w:id="200" w:name="_Toc155"/>
      <w:bookmarkStart w:id="201" w:name="_Toc26924"/>
      <w:r>
        <w:rPr>
          <w:rFonts w:hint="eastAsia"/>
          <w:color w:val="000000" w:themeColor="text1"/>
          <w14:textFill>
            <w14:solidFill>
              <w14:schemeClr w14:val="tx1"/>
            </w14:solidFill>
          </w14:textFill>
        </w:rPr>
        <w:t>药学监护分级标准</w:t>
      </w:r>
      <w:bookmarkEnd w:id="197"/>
      <w:bookmarkEnd w:id="198"/>
      <w:bookmarkEnd w:id="199"/>
      <w:bookmarkEnd w:id="200"/>
      <w:bookmarkEnd w:id="201"/>
    </w:p>
    <w:p w14:paraId="7AD4C697">
      <w:pPr>
        <w:ind w:firstLine="420"/>
        <w:rPr>
          <w:color w:val="000000" w:themeColor="text1"/>
          <w14:textFill>
            <w14:solidFill>
              <w14:schemeClr w14:val="tx1"/>
            </w14:solidFill>
          </w14:textFill>
        </w:rPr>
      </w:pPr>
      <w:r>
        <w:rPr>
          <w:color w:val="000000" w:themeColor="text1"/>
          <w14:textFill>
            <w14:solidFill>
              <w14:schemeClr w14:val="tx1"/>
            </w14:solidFill>
          </w14:textFill>
        </w:rPr>
        <w:t>1、一级药学监护分级标准</w:t>
      </w:r>
    </w:p>
    <w:p w14:paraId="4FD37967">
      <w:pPr>
        <w:ind w:firstLine="420"/>
        <w:rPr>
          <w:color w:val="000000" w:themeColor="text1"/>
          <w14:textFill>
            <w14:solidFill>
              <w14:schemeClr w14:val="tx1"/>
            </w14:solidFill>
          </w14:textFill>
        </w:rPr>
      </w:pPr>
      <w:r>
        <w:rPr>
          <w:color w:val="000000" w:themeColor="text1"/>
          <w14:textFill>
            <w14:solidFill>
              <w14:schemeClr w14:val="tx1"/>
            </w14:solidFill>
          </w14:textFill>
        </w:rPr>
        <w:t>具备以下情况之一的患者，可以确定并实施一级药学监护。</w:t>
      </w:r>
    </w:p>
    <w:p w14:paraId="7EE549A4">
      <w:pPr>
        <w:ind w:firstLine="420"/>
        <w:rPr>
          <w:color w:val="000000" w:themeColor="text1"/>
          <w14:textFill>
            <w14:solidFill>
              <w14:schemeClr w14:val="tx1"/>
            </w14:solidFill>
          </w14:textFill>
        </w:rPr>
      </w:pPr>
      <w:r>
        <w:rPr>
          <w:color w:val="000000" w:themeColor="text1"/>
          <w14:textFill>
            <w14:solidFill>
              <w14:schemeClr w14:val="tx1"/>
            </w14:solidFill>
          </w14:textFill>
        </w:rPr>
        <w:t>（1）严重肾功能不全（</w:t>
      </w:r>
      <w:r>
        <w:rPr>
          <w:rFonts w:hint="eastAsia"/>
          <w:color w:val="000000" w:themeColor="text1"/>
          <w14:textFill>
            <w14:solidFill>
              <w14:schemeClr w14:val="tx1"/>
            </w14:solidFill>
          </w14:textFill>
        </w:rPr>
        <w:t>C</w:t>
      </w:r>
      <w:r>
        <w:rPr>
          <w:color w:val="000000" w:themeColor="text1"/>
          <w14:textFill>
            <w14:solidFill>
              <w14:schemeClr w14:val="tx1"/>
            </w14:solidFill>
          </w14:textFill>
        </w:rPr>
        <w:t>rCl</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ml/min）或接受血液透析、血液滤过、血浆置换、血液灌流、体外膜肺氧合等治疗的患者；</w:t>
      </w:r>
    </w:p>
    <w:p w14:paraId="3D4727FE">
      <w:pPr>
        <w:ind w:firstLine="420"/>
        <w:rPr>
          <w:color w:val="000000" w:themeColor="text1"/>
          <w14:textFill>
            <w14:solidFill>
              <w14:schemeClr w14:val="tx1"/>
            </w14:solidFill>
          </w14:textFill>
        </w:rPr>
      </w:pPr>
      <w:r>
        <w:rPr>
          <w:color w:val="000000" w:themeColor="text1"/>
          <w14:textFill>
            <w14:solidFill>
              <w14:schemeClr w14:val="tx1"/>
            </w14:solidFill>
          </w14:textFill>
        </w:rPr>
        <w:t>（2）严重肝功能不全（生化指标ALT或AST＞5ULN or ALP＞5ULN or T-BiL＞3ULN）或肝功能CTP（Child-Turcotte-Pugh）评分</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10分者；</w:t>
      </w:r>
    </w:p>
    <w:p w14:paraId="6DD60839">
      <w:pPr>
        <w:ind w:firstLine="420"/>
        <w:rPr>
          <w:color w:val="000000" w:themeColor="text1"/>
          <w14:textFill>
            <w14:solidFill>
              <w14:schemeClr w14:val="tx1"/>
            </w14:solidFill>
          </w14:textFill>
        </w:rPr>
      </w:pPr>
      <w:r>
        <w:rPr>
          <w:color w:val="000000" w:themeColor="text1"/>
          <w14:textFill>
            <w14:solidFill>
              <w14:schemeClr w14:val="tx1"/>
            </w14:solidFill>
          </w14:textFill>
        </w:rPr>
        <w:t>（3）同时伴有中度肾功能不全（30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ml/min＜</w:t>
      </w:r>
      <w:r>
        <w:rPr>
          <w:rFonts w:hint="eastAsia"/>
          <w:color w:val="000000" w:themeColor="text1"/>
          <w14:textFill>
            <w14:solidFill>
              <w14:schemeClr w14:val="tx1"/>
            </w14:solidFill>
          </w14:textFill>
        </w:rPr>
        <w:t>C</w:t>
      </w:r>
      <w:r>
        <w:rPr>
          <w:color w:val="000000" w:themeColor="text1"/>
          <w14:textFill>
            <w14:solidFill>
              <w14:schemeClr w14:val="tx1"/>
            </w14:solidFill>
          </w14:textFill>
        </w:rPr>
        <w:t>rCl</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ml/min）和中度肝功能不全（生化指标ALT或AST＞2～4ULN or ALP＞2～4ULN or T-BiL＞2～3ULN，或CTP评分＞7～9分者）；</w:t>
      </w:r>
    </w:p>
    <w:p w14:paraId="47066173">
      <w:pPr>
        <w:ind w:firstLine="420"/>
        <w:rPr>
          <w:color w:val="000000" w:themeColor="text1"/>
          <w14:textFill>
            <w14:solidFill>
              <w14:schemeClr w14:val="tx1"/>
            </w14:solidFill>
          </w14:textFill>
        </w:rPr>
      </w:pPr>
      <w:r>
        <w:rPr>
          <w:color w:val="000000" w:themeColor="text1"/>
          <w14:textFill>
            <w14:solidFill>
              <w14:schemeClr w14:val="tx1"/>
            </w14:solidFill>
          </w14:textFill>
        </w:rPr>
        <w:t>（4）出现休克的患者；</w:t>
      </w:r>
    </w:p>
    <w:p w14:paraId="5AD56499">
      <w:pPr>
        <w:ind w:firstLine="420"/>
        <w:rPr>
          <w:color w:val="000000" w:themeColor="text1"/>
          <w14:textFill>
            <w14:solidFill>
              <w14:schemeClr w14:val="tx1"/>
            </w14:solidFill>
          </w14:textFill>
        </w:rPr>
      </w:pPr>
      <w:r>
        <w:rPr>
          <w:color w:val="000000" w:themeColor="text1"/>
          <w14:textFill>
            <w14:solidFill>
              <w14:schemeClr w14:val="tx1"/>
            </w14:solidFill>
          </w14:textFill>
        </w:rPr>
        <w:t>（5）动脉血气检查分析结果氧分压＜60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mmHg，二氧化碳分压＞50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mmHg的患者；</w:t>
      </w:r>
    </w:p>
    <w:p w14:paraId="47812A08">
      <w:pPr>
        <w:ind w:firstLine="420"/>
        <w:rPr>
          <w:color w:val="000000" w:themeColor="text1"/>
          <w14:textFill>
            <w14:solidFill>
              <w14:schemeClr w14:val="tx1"/>
            </w14:solidFill>
          </w14:textFill>
        </w:rPr>
      </w:pPr>
      <w:r>
        <w:rPr>
          <w:color w:val="000000" w:themeColor="text1"/>
          <w14:textFill>
            <w14:solidFill>
              <w14:schemeClr w14:val="tx1"/>
            </w14:solidFill>
          </w14:textFill>
        </w:rPr>
        <w:t>（6）50岁以下患者血浆NT-proBNP＞450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ng/L或50岁以上患者血浆NT-proBNP＞900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ng/L或75岁以上患者NT-proBNP＞1800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ng/L或肾功能不全（肾小球滤过率＜60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mL/min）血浆NT-proBNP＞1200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ng/L；</w:t>
      </w:r>
    </w:p>
    <w:p w14:paraId="413656B0">
      <w:pPr>
        <w:ind w:firstLine="420"/>
        <w:rPr>
          <w:color w:val="000000" w:themeColor="text1"/>
          <w14:textFill>
            <w14:solidFill>
              <w14:schemeClr w14:val="tx1"/>
            </w14:solidFill>
          </w14:textFill>
        </w:rPr>
      </w:pPr>
      <w:r>
        <w:rPr>
          <w:color w:val="000000" w:themeColor="text1"/>
          <w14:textFill>
            <w14:solidFill>
              <w14:schemeClr w14:val="tx1"/>
            </w14:solidFill>
          </w14:textFill>
        </w:rPr>
        <w:t>（7）外周血cTnT＞0.5 μg/L；</w:t>
      </w:r>
    </w:p>
    <w:p w14:paraId="5CA87959">
      <w:pPr>
        <w:ind w:firstLine="420"/>
        <w:rPr>
          <w:color w:val="000000" w:themeColor="text1"/>
          <w14:textFill>
            <w14:solidFill>
              <w14:schemeClr w14:val="tx1"/>
            </w14:solidFill>
          </w14:textFill>
        </w:rPr>
      </w:pPr>
      <w:r>
        <w:rPr>
          <w:color w:val="000000" w:themeColor="text1"/>
          <w14:textFill>
            <w14:solidFill>
              <w14:schemeClr w14:val="tx1"/>
            </w14:solidFill>
          </w14:textFill>
        </w:rPr>
        <w:t>（8）凝血酶原时间＞18</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s或活化</w:t>
      </w:r>
      <w:r>
        <w:fldChar w:fldCharType="begin"/>
      </w:r>
      <w:r>
        <w:instrText xml:space="preserve"> HYPERLINK "https://baike.baidu.com/item/%E9%83%A8%E5%88%86%E5%87%9D%E8%A1%80%E6%B4%BB%E9%85%B6%E6%97%B6%E9%97%B4/16305805" \h </w:instrText>
      </w:r>
      <w:r>
        <w:fldChar w:fldCharType="separate"/>
      </w:r>
      <w:r>
        <w:rPr>
          <w:rStyle w:val="30"/>
          <w:rFonts w:hint="eastAsia" w:ascii="Times New Roman" w:hAnsi="Times New Roman" w:cs="Times New Roman"/>
          <w:color w:val="000000" w:themeColor="text1"/>
          <w:u w:val="none"/>
          <w14:textFill>
            <w14:solidFill>
              <w14:schemeClr w14:val="tx1"/>
            </w14:solidFill>
          </w14:textFill>
        </w:rPr>
        <w:t>部分凝血活酶时间</w:t>
      </w:r>
      <w:r>
        <w:rPr>
          <w:rStyle w:val="30"/>
          <w:rFonts w:hint="eastAsia" w:ascii="Times New Roman" w:hAnsi="Times New Roman" w:cs="Times New Roman"/>
          <w:color w:val="000000" w:themeColor="text1"/>
          <w:u w:val="none"/>
          <w14:textFill>
            <w14:solidFill>
              <w14:schemeClr w14:val="tx1"/>
            </w14:solidFill>
          </w14:textFill>
        </w:rPr>
        <w:fldChar w:fldCharType="end"/>
      </w:r>
      <w:r>
        <w:rPr>
          <w:color w:val="000000" w:themeColor="text1"/>
          <w14:textFill>
            <w14:solidFill>
              <w14:schemeClr w14:val="tx1"/>
            </w14:solidFill>
          </w14:textFill>
        </w:rPr>
        <w:t>＞60 s或凝血酶时间＞15 s或血浆凝血酶原时间比率＞1.6；</w:t>
      </w:r>
    </w:p>
    <w:p w14:paraId="46443C40">
      <w:pPr>
        <w:ind w:firstLine="420"/>
        <w:rPr>
          <w:color w:val="000000" w:themeColor="text1"/>
          <w14:textFill>
            <w14:solidFill>
              <w14:schemeClr w14:val="tx1"/>
            </w14:solidFill>
          </w14:textFill>
        </w:rPr>
      </w:pPr>
      <w:r>
        <w:rPr>
          <w:color w:val="000000" w:themeColor="text1"/>
          <w14:textFill>
            <w14:solidFill>
              <w14:schemeClr w14:val="tx1"/>
            </w14:solidFill>
          </w14:textFill>
        </w:rPr>
        <w:t>（9）用药超过15种的患者；</w:t>
      </w:r>
    </w:p>
    <w:p w14:paraId="42C832D3">
      <w:pPr>
        <w:ind w:firstLine="420"/>
        <w:rPr>
          <w:color w:val="000000" w:themeColor="text1"/>
          <w14:textFill>
            <w14:solidFill>
              <w14:schemeClr w14:val="tx1"/>
            </w14:solidFill>
          </w14:textFill>
        </w:rPr>
      </w:pPr>
      <w:r>
        <w:rPr>
          <w:color w:val="000000" w:themeColor="text1"/>
          <w14:textFill>
            <w14:solidFill>
              <w14:schemeClr w14:val="tx1"/>
            </w14:solidFill>
          </w14:textFill>
        </w:rPr>
        <w:t>（10）应用治疗指数狭窄的药物（参照《住院患者药学监护技术规范》）；</w:t>
      </w:r>
    </w:p>
    <w:p w14:paraId="15529EBF">
      <w:pPr>
        <w:ind w:firstLine="420"/>
        <w:rPr>
          <w:color w:val="000000" w:themeColor="text1"/>
          <w14:textFill>
            <w14:solidFill>
              <w14:schemeClr w14:val="tx1"/>
            </w14:solidFill>
          </w14:textFill>
        </w:rPr>
      </w:pPr>
      <w:r>
        <w:rPr>
          <w:color w:val="000000" w:themeColor="text1"/>
          <w14:textFill>
            <w14:solidFill>
              <w14:schemeClr w14:val="tx1"/>
            </w14:solidFill>
          </w14:textFill>
        </w:rPr>
        <w:t>（11）联合应用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3种抗肿瘤药物；</w:t>
      </w:r>
    </w:p>
    <w:p w14:paraId="1DA0D3EA">
      <w:pPr>
        <w:ind w:firstLine="420"/>
        <w:rPr>
          <w:color w:val="000000" w:themeColor="text1"/>
          <w14:textFill>
            <w14:solidFill>
              <w14:schemeClr w14:val="tx1"/>
            </w14:solidFill>
          </w14:textFill>
        </w:rPr>
      </w:pPr>
      <w:r>
        <w:rPr>
          <w:color w:val="000000" w:themeColor="text1"/>
          <w14:textFill>
            <w14:solidFill>
              <w14:schemeClr w14:val="tx1"/>
            </w14:solidFill>
          </w14:textFill>
        </w:rPr>
        <w:t>（12）3日内接受溶栓治疗患者；</w:t>
      </w:r>
    </w:p>
    <w:p w14:paraId="3DEE7945">
      <w:pPr>
        <w:ind w:firstLine="420"/>
        <w:rPr>
          <w:color w:val="000000" w:themeColor="text1"/>
          <w14:textFill>
            <w14:solidFill>
              <w14:schemeClr w14:val="tx1"/>
            </w14:solidFill>
          </w14:textFill>
        </w:rPr>
      </w:pPr>
      <w:r>
        <w:rPr>
          <w:color w:val="000000" w:themeColor="text1"/>
          <w14:textFill>
            <w14:solidFill>
              <w14:schemeClr w14:val="tx1"/>
            </w14:solidFill>
          </w14:textFill>
        </w:rPr>
        <w:t>（13）血药浓度监测值异常或出现严重ADR/ADE的患者（严重ADR/ADE的定义按照国家药品不良反应监测中心印发的《药品不良反应报告和监测工作手册》）；</w:t>
      </w:r>
    </w:p>
    <w:p w14:paraId="00AF2DED">
      <w:pPr>
        <w:ind w:firstLine="420"/>
        <w:rPr>
          <w:color w:val="000000" w:themeColor="text1"/>
          <w14:textFill>
            <w14:solidFill>
              <w14:schemeClr w14:val="tx1"/>
            </w14:solidFill>
          </w14:textFill>
        </w:rPr>
      </w:pPr>
      <w:r>
        <w:rPr>
          <w:color w:val="000000" w:themeColor="text1"/>
          <w14:textFill>
            <w14:solidFill>
              <w14:schemeClr w14:val="tx1"/>
            </w14:solidFill>
          </w14:textFill>
        </w:rPr>
        <w:t>（14）使用特殊使用级抗菌药物；</w:t>
      </w:r>
    </w:p>
    <w:p w14:paraId="5B81991D">
      <w:pPr>
        <w:ind w:firstLine="420"/>
        <w:rPr>
          <w:color w:val="000000" w:themeColor="text1"/>
          <w14:textFill>
            <w14:solidFill>
              <w14:schemeClr w14:val="tx1"/>
            </w14:solidFill>
          </w14:textFill>
        </w:rPr>
      </w:pPr>
      <w:r>
        <w:rPr>
          <w:color w:val="000000" w:themeColor="text1"/>
          <w14:textFill>
            <w14:solidFill>
              <w14:schemeClr w14:val="tx1"/>
            </w14:solidFill>
          </w14:textFill>
        </w:rPr>
        <w:t>（15）使用大毒中药饮片患者；</w:t>
      </w:r>
    </w:p>
    <w:p w14:paraId="15DBDA56">
      <w:pPr>
        <w:ind w:firstLine="420"/>
        <w:rPr>
          <w:color w:val="000000" w:themeColor="text1"/>
          <w14:textFill>
            <w14:solidFill>
              <w14:schemeClr w14:val="tx1"/>
            </w14:solidFill>
          </w14:textFill>
        </w:rPr>
      </w:pPr>
      <w:r>
        <w:rPr>
          <w:color w:val="000000" w:themeColor="text1"/>
          <w14:textFill>
            <w14:solidFill>
              <w14:schemeClr w14:val="tx1"/>
            </w14:solidFill>
          </w14:textFill>
        </w:rPr>
        <w:t>（16）使用A级高警示药品患者（参照中国药学会发布的《高警示药品管理的专用标识和分级管理策略》）；</w:t>
      </w:r>
    </w:p>
    <w:p w14:paraId="2E53CA4B">
      <w:pPr>
        <w:ind w:firstLine="420"/>
        <w:rPr>
          <w:color w:val="000000" w:themeColor="text1"/>
          <w14:textFill>
            <w14:solidFill>
              <w14:schemeClr w14:val="tx1"/>
            </w14:solidFill>
          </w14:textFill>
        </w:rPr>
      </w:pPr>
      <w:r>
        <w:rPr>
          <w:color w:val="000000" w:themeColor="text1"/>
          <w14:textFill>
            <w14:solidFill>
              <w14:schemeClr w14:val="tx1"/>
            </w14:solidFill>
          </w14:textFill>
        </w:rPr>
        <w:t>（17）护理级别为特级护理患者；</w:t>
      </w:r>
    </w:p>
    <w:p w14:paraId="5F8469CC">
      <w:pPr>
        <w:ind w:firstLine="420"/>
        <w:rPr>
          <w:color w:val="000000" w:themeColor="text1"/>
          <w14:textFill>
            <w14:solidFill>
              <w14:schemeClr w14:val="tx1"/>
            </w14:solidFill>
          </w14:textFill>
        </w:rPr>
      </w:pPr>
      <w:r>
        <w:rPr>
          <w:color w:val="000000" w:themeColor="text1"/>
          <w14:textFill>
            <w14:solidFill>
              <w14:schemeClr w14:val="tx1"/>
            </w14:solidFill>
          </w14:textFill>
        </w:rPr>
        <w:t>（18）同时患有两种以上国家医保或各省、市、自治区医保目录报销的慢病。</w:t>
      </w:r>
    </w:p>
    <w:p w14:paraId="75DBAD0B">
      <w:pPr>
        <w:ind w:firstLine="420"/>
        <w:rPr>
          <w:color w:val="000000" w:themeColor="text1"/>
          <w14:textFill>
            <w14:solidFill>
              <w14:schemeClr w14:val="tx1"/>
            </w14:solidFill>
          </w14:textFill>
        </w:rPr>
      </w:pPr>
      <w:r>
        <w:rPr>
          <w:color w:val="000000" w:themeColor="text1"/>
          <w14:textFill>
            <w14:solidFill>
              <w14:schemeClr w14:val="tx1"/>
            </w14:solidFill>
          </w14:textFill>
        </w:rPr>
        <w:t>2、二级药学监护分级标准</w:t>
      </w:r>
    </w:p>
    <w:p w14:paraId="078A7B75">
      <w:pPr>
        <w:ind w:firstLine="420"/>
        <w:rPr>
          <w:color w:val="000000" w:themeColor="text1"/>
          <w14:textFill>
            <w14:solidFill>
              <w14:schemeClr w14:val="tx1"/>
            </w14:solidFill>
          </w14:textFill>
        </w:rPr>
      </w:pPr>
      <w:r>
        <w:rPr>
          <w:color w:val="000000" w:themeColor="text1"/>
          <w14:textFill>
            <w14:solidFill>
              <w14:schemeClr w14:val="tx1"/>
            </w14:solidFill>
          </w14:textFill>
        </w:rPr>
        <w:t>具备以下情况之一的患者，可以确定并实施二级药学监护。</w:t>
      </w:r>
    </w:p>
    <w:p w14:paraId="66AEDFBD">
      <w:pPr>
        <w:ind w:firstLine="420"/>
        <w:rPr>
          <w:color w:val="000000" w:themeColor="text1"/>
          <w14:textFill>
            <w14:solidFill>
              <w14:schemeClr w14:val="tx1"/>
            </w14:solidFill>
          </w14:textFill>
        </w:rPr>
      </w:pPr>
      <w:r>
        <w:rPr>
          <w:color w:val="000000" w:themeColor="text1"/>
          <w14:textFill>
            <w14:solidFill>
              <w14:schemeClr w14:val="tx1"/>
            </w14:solidFill>
          </w14:textFill>
        </w:rPr>
        <w:t>（1）中度肾功能不全（30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ml/min＜</w:t>
      </w:r>
      <w:r>
        <w:rPr>
          <w:rFonts w:hint="eastAsia"/>
          <w:color w:val="000000" w:themeColor="text1"/>
          <w14:textFill>
            <w14:solidFill>
              <w14:schemeClr w14:val="tx1"/>
            </w14:solidFill>
          </w14:textFill>
        </w:rPr>
        <w:t>C</w:t>
      </w:r>
      <w:r>
        <w:rPr>
          <w:color w:val="000000" w:themeColor="text1"/>
          <w14:textFill>
            <w14:solidFill>
              <w14:schemeClr w14:val="tx1"/>
            </w14:solidFill>
          </w14:textFill>
        </w:rPr>
        <w:t>rCl</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ml/min）；</w:t>
      </w:r>
    </w:p>
    <w:p w14:paraId="5DCA4441">
      <w:pPr>
        <w:ind w:firstLine="420"/>
        <w:rPr>
          <w:color w:val="000000" w:themeColor="text1"/>
          <w14:textFill>
            <w14:solidFill>
              <w14:schemeClr w14:val="tx1"/>
            </w14:solidFill>
          </w14:textFill>
        </w:rPr>
      </w:pPr>
      <w:r>
        <w:rPr>
          <w:color w:val="000000" w:themeColor="text1"/>
          <w14:textFill>
            <w14:solidFill>
              <w14:schemeClr w14:val="tx1"/>
            </w14:solidFill>
          </w14:textFill>
        </w:rPr>
        <w:t>（2）中度肝功能不全（生化指标ALT或AST＞2～4ULN or ALP＞2～4ULN or 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BiL＞2~3ULN）或CTP评分＞7~9分者；</w:t>
      </w:r>
    </w:p>
    <w:p w14:paraId="33A94F5A">
      <w:pPr>
        <w:ind w:left="420" w:leftChars="200" w:firstLine="0" w:firstLineChars="0"/>
        <w:rPr>
          <w:color w:val="000000" w:themeColor="text1"/>
          <w14:textFill>
            <w14:solidFill>
              <w14:schemeClr w14:val="tx1"/>
            </w14:solidFill>
          </w14:textFill>
        </w:rPr>
      </w:pPr>
      <w:r>
        <w:rPr>
          <w:color w:val="000000" w:themeColor="text1"/>
          <w14:textFill>
            <w14:solidFill>
              <w14:schemeClr w14:val="tx1"/>
            </w14:solidFill>
          </w14:textFill>
        </w:rPr>
        <w:t>（3）非儿科的患儿（＜14岁）、高龄（＞75岁）及非产科、生殖医学科妊娠期患者；（4）有既往药物过敏史</w:t>
      </w:r>
    </w:p>
    <w:p w14:paraId="0155EC17">
      <w:pPr>
        <w:ind w:firstLine="420"/>
        <w:rPr>
          <w:color w:val="000000" w:themeColor="text1"/>
          <w14:textFill>
            <w14:solidFill>
              <w14:schemeClr w14:val="tx1"/>
            </w14:solidFill>
          </w14:textFill>
        </w:rPr>
      </w:pPr>
      <w:r>
        <w:rPr>
          <w:color w:val="000000" w:themeColor="text1"/>
          <w14:textFill>
            <w14:solidFill>
              <w14:schemeClr w14:val="tx1"/>
            </w14:solidFill>
          </w14:textFill>
        </w:rPr>
        <w:t>（5）同时应用药物超过10种或同时使用2种有明确相互作用药物的患者；</w:t>
      </w:r>
    </w:p>
    <w:p w14:paraId="584EF144">
      <w:pPr>
        <w:ind w:firstLine="420"/>
        <w:rPr>
          <w:color w:val="000000" w:themeColor="text1"/>
          <w14:textFill>
            <w14:solidFill>
              <w14:schemeClr w14:val="tx1"/>
            </w14:solidFill>
          </w14:textFill>
        </w:rPr>
      </w:pPr>
      <w:r>
        <w:rPr>
          <w:color w:val="000000" w:themeColor="text1"/>
          <w14:textFill>
            <w14:solidFill>
              <w14:schemeClr w14:val="tx1"/>
            </w14:solidFill>
          </w14:textFill>
        </w:rPr>
        <w:t>（6）静脉使用氨基苷类抗菌药物的患者；</w:t>
      </w:r>
    </w:p>
    <w:p w14:paraId="678A9F69">
      <w:pPr>
        <w:ind w:firstLine="420"/>
        <w:rPr>
          <w:color w:val="000000" w:themeColor="text1"/>
          <w14:textFill>
            <w14:solidFill>
              <w14:schemeClr w14:val="tx1"/>
            </w14:solidFill>
          </w14:textFill>
        </w:rPr>
      </w:pPr>
      <w:r>
        <w:rPr>
          <w:color w:val="000000" w:themeColor="text1"/>
          <w14:textFill>
            <w14:solidFill>
              <w14:schemeClr w14:val="tx1"/>
            </w14:solidFill>
          </w14:textFill>
        </w:rPr>
        <w:t>（7）存在抗菌药物不良反应高危因素者（凝血功能异常、中枢神经系统损伤）；</w:t>
      </w:r>
    </w:p>
    <w:p w14:paraId="4C125F0D">
      <w:pPr>
        <w:ind w:firstLine="420"/>
        <w:rPr>
          <w:color w:val="000000" w:themeColor="text1"/>
          <w14:textFill>
            <w14:solidFill>
              <w14:schemeClr w14:val="tx1"/>
            </w14:solidFill>
          </w14:textFill>
        </w:rPr>
      </w:pPr>
      <w:r>
        <w:rPr>
          <w:color w:val="000000" w:themeColor="text1"/>
          <w14:textFill>
            <w14:solidFill>
              <w14:schemeClr w14:val="tx1"/>
            </w14:solidFill>
          </w14:textFill>
        </w:rPr>
        <w:t>（8）联合使用3种以上抗菌药物；</w:t>
      </w:r>
    </w:p>
    <w:p w14:paraId="77D562BE">
      <w:pPr>
        <w:ind w:firstLine="420"/>
        <w:rPr>
          <w:color w:val="000000" w:themeColor="text1"/>
          <w14:textFill>
            <w14:solidFill>
              <w14:schemeClr w14:val="tx1"/>
            </w14:solidFill>
          </w14:textFill>
        </w:rPr>
      </w:pPr>
      <w:r>
        <w:rPr>
          <w:color w:val="000000" w:themeColor="text1"/>
          <w14:textFill>
            <w14:solidFill>
              <w14:schemeClr w14:val="tx1"/>
            </w14:solidFill>
          </w14:textFill>
        </w:rPr>
        <w:t>（9）使用B级高警示药品（参照中国药学会发布的《高警示药品管理的专用标识和分级管理策略》）的患者；</w:t>
      </w:r>
    </w:p>
    <w:p w14:paraId="5039F7E0">
      <w:pPr>
        <w:ind w:firstLine="420"/>
        <w:rPr>
          <w:color w:val="000000" w:themeColor="text1"/>
          <w14:textFill>
            <w14:solidFill>
              <w14:schemeClr w14:val="tx1"/>
            </w14:solidFill>
          </w14:textFill>
        </w:rPr>
      </w:pPr>
      <w:r>
        <w:rPr>
          <w:color w:val="000000" w:themeColor="text1"/>
          <w14:textFill>
            <w14:solidFill>
              <w14:schemeClr w14:val="tx1"/>
            </w14:solidFill>
          </w14:textFill>
        </w:rPr>
        <w:t>（10）使用有毒中药饮片的患者；</w:t>
      </w:r>
    </w:p>
    <w:p w14:paraId="5AE73918">
      <w:pPr>
        <w:ind w:firstLine="420"/>
        <w:rPr>
          <w:color w:val="000000" w:themeColor="text1"/>
          <w14:textFill>
            <w14:solidFill>
              <w14:schemeClr w14:val="tx1"/>
            </w14:solidFill>
          </w14:textFill>
        </w:rPr>
      </w:pPr>
      <w:r>
        <w:rPr>
          <w:color w:val="000000" w:themeColor="text1"/>
          <w14:textFill>
            <w14:solidFill>
              <w14:schemeClr w14:val="tx1"/>
            </w14:solidFill>
          </w14:textFill>
        </w:rPr>
        <w:t>（11）接受静脉输液泵入给药、经胃食管给药患者；</w:t>
      </w:r>
    </w:p>
    <w:p w14:paraId="73863D0F">
      <w:pPr>
        <w:ind w:firstLine="420"/>
        <w:rPr>
          <w:color w:val="000000" w:themeColor="text1"/>
          <w14:textFill>
            <w14:solidFill>
              <w14:schemeClr w14:val="tx1"/>
            </w14:solidFill>
          </w14:textFill>
        </w:rPr>
      </w:pPr>
      <w:r>
        <w:rPr>
          <w:color w:val="000000" w:themeColor="text1"/>
          <w14:textFill>
            <w14:solidFill>
              <w14:schemeClr w14:val="tx1"/>
            </w14:solidFill>
          </w14:textFill>
        </w:rPr>
        <w:t>（12）护理级别为一级护理患者；</w:t>
      </w:r>
    </w:p>
    <w:p w14:paraId="7FE16580">
      <w:pPr>
        <w:ind w:firstLine="420"/>
        <w:rPr>
          <w:color w:val="000000" w:themeColor="text1"/>
          <w14:textFill>
            <w14:solidFill>
              <w14:schemeClr w14:val="tx1"/>
            </w14:solidFill>
          </w14:textFill>
        </w:rPr>
      </w:pPr>
      <w:r>
        <w:rPr>
          <w:color w:val="000000" w:themeColor="text1"/>
          <w14:textFill>
            <w14:solidFill>
              <w14:schemeClr w14:val="tx1"/>
            </w14:solidFill>
          </w14:textFill>
        </w:rPr>
        <w:t>（13）患有一种国家医保或各省、市、自治区医保目录报销的慢病。</w:t>
      </w:r>
    </w:p>
    <w:p w14:paraId="04FFE5DA">
      <w:pPr>
        <w:ind w:firstLine="420"/>
        <w:rPr>
          <w:color w:val="000000" w:themeColor="text1"/>
          <w14:textFill>
            <w14:solidFill>
              <w14:schemeClr w14:val="tx1"/>
            </w14:solidFill>
          </w14:textFill>
        </w:rPr>
      </w:pPr>
      <w:r>
        <w:rPr>
          <w:color w:val="000000" w:themeColor="text1"/>
          <w14:textFill>
            <w14:solidFill>
              <w14:schemeClr w14:val="tx1"/>
            </w14:solidFill>
          </w14:textFill>
        </w:rPr>
        <w:t>3、三级药学监护分级标准</w:t>
      </w:r>
    </w:p>
    <w:p w14:paraId="68218388">
      <w:pPr>
        <w:ind w:firstLine="420"/>
        <w:rPr>
          <w:color w:val="000000" w:themeColor="text1"/>
          <w14:textFill>
            <w14:solidFill>
              <w14:schemeClr w14:val="tx1"/>
            </w14:solidFill>
          </w14:textFill>
        </w:rPr>
      </w:pPr>
      <w:r>
        <w:rPr>
          <w:color w:val="000000" w:themeColor="text1"/>
          <w14:textFill>
            <w14:solidFill>
              <w14:schemeClr w14:val="tx1"/>
            </w14:solidFill>
          </w14:textFill>
        </w:rPr>
        <w:t>除一、二级以外均为三级。</w:t>
      </w:r>
    </w:p>
    <w:p w14:paraId="68BFE01B">
      <w:pPr>
        <w:widowControl/>
        <w:spacing w:line="240" w:lineRule="auto"/>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240554A3">
      <w:pPr>
        <w:pStyle w:val="89"/>
        <w:rPr>
          <w:color w:val="000000" w:themeColor="text1"/>
          <w14:textFill>
            <w14:solidFill>
              <w14:schemeClr w14:val="tx1"/>
            </w14:solidFill>
          </w14:textFill>
        </w:rPr>
      </w:pPr>
      <w:bookmarkStart w:id="202" w:name="_Toc13453"/>
      <w:bookmarkStart w:id="203" w:name="_Toc195469979"/>
      <w:bookmarkStart w:id="204" w:name="_Toc24497"/>
      <w:bookmarkStart w:id="205" w:name="_Toc4058"/>
      <w:r>
        <w:rPr>
          <w:rFonts w:hint="eastAsia"/>
          <w:color w:val="000000" w:themeColor="text1"/>
          <w14:textFill>
            <w14:solidFill>
              <w14:schemeClr w14:val="tx1"/>
            </w14:solidFill>
          </w14:textFill>
        </w:rPr>
        <w:t>附录C</w:t>
      </w:r>
      <w:bookmarkEnd w:id="202"/>
      <w:bookmarkEnd w:id="203"/>
      <w:bookmarkEnd w:id="204"/>
      <w:bookmarkEnd w:id="205"/>
    </w:p>
    <w:p w14:paraId="7B8CA91C">
      <w:pPr>
        <w:pStyle w:val="89"/>
        <w:rPr>
          <w:color w:val="000000" w:themeColor="text1"/>
          <w14:textFill>
            <w14:solidFill>
              <w14:schemeClr w14:val="tx1"/>
            </w14:solidFill>
          </w14:textFill>
        </w:rPr>
      </w:pPr>
      <w:bookmarkStart w:id="206" w:name="_Toc4625"/>
      <w:bookmarkStart w:id="207" w:name="_Toc195469980"/>
      <w:bookmarkStart w:id="208" w:name="_Toc195469316"/>
      <w:bookmarkStart w:id="209" w:name="_Toc21831"/>
      <w:bookmarkStart w:id="210" w:name="_Toc28057"/>
      <w:r>
        <w:rPr>
          <w:rFonts w:hint="eastAsia"/>
          <w:color w:val="000000" w:themeColor="text1"/>
          <w14:textFill>
            <w14:solidFill>
              <w14:schemeClr w14:val="tx1"/>
            </w14:solidFill>
          </w14:textFill>
        </w:rPr>
        <w:t>（资料性）</w:t>
      </w:r>
      <w:bookmarkEnd w:id="206"/>
      <w:bookmarkEnd w:id="207"/>
      <w:bookmarkEnd w:id="208"/>
      <w:bookmarkEnd w:id="209"/>
      <w:bookmarkEnd w:id="210"/>
    </w:p>
    <w:p w14:paraId="5E408457">
      <w:pPr>
        <w:pStyle w:val="89"/>
        <w:rPr>
          <w:color w:val="000000" w:themeColor="text1"/>
          <w14:textFill>
            <w14:solidFill>
              <w14:schemeClr w14:val="tx1"/>
            </w14:solidFill>
          </w14:textFill>
        </w:rPr>
      </w:pPr>
      <w:bookmarkStart w:id="211" w:name="_Toc8020"/>
      <w:bookmarkStart w:id="212" w:name="_Toc26729"/>
      <w:bookmarkStart w:id="213" w:name="_Toc195469981"/>
      <w:bookmarkStart w:id="214" w:name="_Toc18483"/>
      <w:r>
        <w:rPr>
          <w:rFonts w:hint="eastAsia"/>
          <w:color w:val="000000" w:themeColor="text1"/>
          <w14:textFill>
            <w14:solidFill>
              <w14:schemeClr w14:val="tx1"/>
            </w14:solidFill>
          </w14:textFill>
        </w:rPr>
        <w:t>老年冠心病患者潜在不适当用药目录</w:t>
      </w:r>
      <w:bookmarkEnd w:id="211"/>
      <w:bookmarkEnd w:id="212"/>
      <w:bookmarkEnd w:id="213"/>
      <w:bookmarkEnd w:id="214"/>
    </w:p>
    <w:tbl>
      <w:tblPr>
        <w:tblStyle w:val="25"/>
        <w:tblW w:w="0" w:type="auto"/>
        <w:tblInd w:w="0" w:type="dxa"/>
        <w:tblLayout w:type="autofit"/>
        <w:tblCellMar>
          <w:top w:w="0" w:type="dxa"/>
          <w:left w:w="108" w:type="dxa"/>
          <w:bottom w:w="0" w:type="dxa"/>
          <w:right w:w="108" w:type="dxa"/>
        </w:tblCellMar>
      </w:tblPr>
      <w:tblGrid>
        <w:gridCol w:w="396"/>
        <w:gridCol w:w="743"/>
        <w:gridCol w:w="2471"/>
        <w:gridCol w:w="3588"/>
        <w:gridCol w:w="1104"/>
      </w:tblGrid>
      <w:tr w14:paraId="1815D630">
        <w:tblPrEx>
          <w:tblCellMar>
            <w:top w:w="0" w:type="dxa"/>
            <w:left w:w="108" w:type="dxa"/>
            <w:bottom w:w="0" w:type="dxa"/>
            <w:right w:w="108" w:type="dxa"/>
          </w:tblCellMar>
        </w:tblPrEx>
        <w:trPr>
          <w:trHeight w:val="560" w:hRule="atLeast"/>
        </w:trPr>
        <w:tc>
          <w:tcPr>
            <w:tcW w:w="396" w:type="dxa"/>
            <w:tcBorders>
              <w:top w:val="single" w:color="000000" w:sz="4" w:space="0"/>
              <w:left w:val="single" w:color="000000" w:sz="4" w:space="0"/>
              <w:bottom w:val="single" w:color="000000" w:sz="4" w:space="0"/>
              <w:right w:val="single" w:color="000000" w:sz="4" w:space="0"/>
            </w:tcBorders>
            <w:vAlign w:val="center"/>
          </w:tcPr>
          <w:p w14:paraId="6C21F078">
            <w:pPr>
              <w:pStyle w:val="6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序号</w:t>
            </w:r>
          </w:p>
        </w:tc>
        <w:tc>
          <w:tcPr>
            <w:tcW w:w="743" w:type="dxa"/>
            <w:tcBorders>
              <w:top w:val="single" w:color="000000" w:sz="4" w:space="0"/>
              <w:left w:val="single" w:color="000000" w:sz="4" w:space="0"/>
              <w:bottom w:val="single" w:color="000000" w:sz="4" w:space="0"/>
              <w:right w:val="single" w:color="000000" w:sz="4" w:space="0"/>
            </w:tcBorders>
            <w:vAlign w:val="center"/>
          </w:tcPr>
          <w:p w14:paraId="6D1316E3">
            <w:pPr>
              <w:pStyle w:val="6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分类</w:t>
            </w:r>
          </w:p>
        </w:tc>
        <w:tc>
          <w:tcPr>
            <w:tcW w:w="2471" w:type="dxa"/>
            <w:tcBorders>
              <w:top w:val="single" w:color="000000" w:sz="4" w:space="0"/>
              <w:left w:val="single" w:color="000000" w:sz="4" w:space="0"/>
              <w:bottom w:val="single" w:color="000000" w:sz="4" w:space="0"/>
              <w:right w:val="single" w:color="000000" w:sz="4" w:space="0"/>
            </w:tcBorders>
            <w:vAlign w:val="center"/>
          </w:tcPr>
          <w:p w14:paraId="106206DE">
            <w:pPr>
              <w:pStyle w:val="69"/>
              <w:ind w:firstLine="36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高风险用药</w:t>
            </w:r>
          </w:p>
        </w:tc>
        <w:tc>
          <w:tcPr>
            <w:tcW w:w="3588" w:type="dxa"/>
            <w:tcBorders>
              <w:top w:val="single" w:color="000000" w:sz="4" w:space="0"/>
              <w:left w:val="single" w:color="000000" w:sz="4" w:space="0"/>
              <w:bottom w:val="single" w:color="000000" w:sz="4" w:space="0"/>
              <w:right w:val="single" w:color="000000" w:sz="4" w:space="0"/>
            </w:tcBorders>
            <w:vAlign w:val="center"/>
          </w:tcPr>
          <w:p w14:paraId="1BAE24A1">
            <w:pPr>
              <w:pStyle w:val="6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原因</w:t>
            </w:r>
          </w:p>
        </w:tc>
        <w:tc>
          <w:tcPr>
            <w:tcW w:w="1104" w:type="dxa"/>
            <w:tcBorders>
              <w:top w:val="single" w:color="000000" w:sz="4" w:space="0"/>
              <w:left w:val="single" w:color="000000" w:sz="4" w:space="0"/>
              <w:bottom w:val="single" w:color="000000" w:sz="4" w:space="0"/>
              <w:right w:val="single" w:color="000000" w:sz="4" w:space="0"/>
            </w:tcBorders>
            <w:vAlign w:val="center"/>
          </w:tcPr>
          <w:p w14:paraId="02BFEDE3">
            <w:pPr>
              <w:pStyle w:val="69"/>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依据</w:t>
            </w:r>
          </w:p>
        </w:tc>
      </w:tr>
      <w:tr w14:paraId="6065856F">
        <w:tblPrEx>
          <w:tblCellMar>
            <w:top w:w="0" w:type="dxa"/>
            <w:left w:w="108" w:type="dxa"/>
            <w:bottom w:w="0" w:type="dxa"/>
            <w:right w:w="108" w:type="dxa"/>
          </w:tblCellMar>
        </w:tblPrEx>
        <w:trPr>
          <w:trHeight w:val="2202" w:hRule="atLeast"/>
        </w:trPr>
        <w:tc>
          <w:tcPr>
            <w:tcW w:w="396" w:type="dxa"/>
            <w:vMerge w:val="restart"/>
            <w:tcBorders>
              <w:top w:val="single" w:color="000000" w:sz="4" w:space="0"/>
              <w:left w:val="single" w:color="000000" w:sz="4" w:space="0"/>
              <w:bottom w:val="single" w:color="000000" w:sz="4" w:space="0"/>
              <w:right w:val="single" w:color="000000" w:sz="4" w:space="0"/>
            </w:tcBorders>
            <w:vAlign w:val="center"/>
          </w:tcPr>
          <w:p w14:paraId="18C6B62D">
            <w:pPr>
              <w:pStyle w:val="69"/>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A479273">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抗血小板药物</w:t>
            </w:r>
          </w:p>
        </w:tc>
        <w:tc>
          <w:tcPr>
            <w:tcW w:w="2471" w:type="dxa"/>
            <w:tcBorders>
              <w:top w:val="single" w:color="000000" w:sz="4" w:space="0"/>
              <w:left w:val="single" w:color="000000" w:sz="4" w:space="0"/>
              <w:bottom w:val="single" w:color="000000" w:sz="4" w:space="0"/>
              <w:right w:val="single" w:color="000000" w:sz="4" w:space="0"/>
            </w:tcBorders>
            <w:vAlign w:val="center"/>
          </w:tcPr>
          <w:p w14:paraId="46C9FECC">
            <w:pPr>
              <w:pStyle w:val="69"/>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阿司匹林</w:t>
            </w:r>
          </w:p>
          <w:p w14:paraId="4E40BAB7">
            <w:pPr>
              <w:pStyle w:val="69"/>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1.用于心血管疾病一级预防</w:t>
            </w:r>
          </w:p>
          <w:p w14:paraId="2447D9D2">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2.长期使用</w:t>
            </w:r>
            <w:r>
              <w:rPr>
                <w:rFonts w:hint="eastAsia" w:ascii="Times New Roman" w:hAnsi="Times New Roman" w:cs="Times New Roman"/>
                <w:color w:val="000000" w:themeColor="text1"/>
                <w:sz w:val="18"/>
                <w:szCs w:val="18"/>
                <w:lang w:bidi="ar"/>
                <w14:textFill>
                  <w14:solidFill>
                    <w14:schemeClr w14:val="tx1"/>
                  </w14:solidFill>
                </w14:textFill>
              </w:rPr>
              <w:t>＞</w:t>
            </w:r>
            <w:r>
              <w:rPr>
                <w:rFonts w:ascii="Times New Roman" w:hAnsi="Times New Roman" w:cs="Times New Roman"/>
                <w:color w:val="000000" w:themeColor="text1"/>
                <w:sz w:val="18"/>
                <w:szCs w:val="18"/>
                <w:lang w:bidi="ar"/>
                <w14:textFill>
                  <w14:solidFill>
                    <w14:schemeClr w14:val="tx1"/>
                  </w14:solidFill>
                </w14:textFill>
              </w:rPr>
              <w:t>100</w:t>
            </w:r>
            <w:r>
              <w:rPr>
                <w:rFonts w:hint="eastAsia" w:ascii="Times New Roman" w:hAnsi="Times New Roman" w:cs="Times New Roman"/>
                <w:color w:val="000000" w:themeColor="text1"/>
                <w:sz w:val="18"/>
                <w:szCs w:val="18"/>
                <w:lang w:bidi="ar"/>
                <w14:textFill>
                  <w14:solidFill>
                    <w14:schemeClr w14:val="tx1"/>
                  </w14:solidFill>
                </w14:textFill>
              </w:rPr>
              <w:t xml:space="preserve"> </w:t>
            </w:r>
            <w:r>
              <w:rPr>
                <w:rFonts w:ascii="Times New Roman" w:hAnsi="Times New Roman" w:cs="Times New Roman"/>
                <w:color w:val="000000" w:themeColor="text1"/>
                <w:sz w:val="18"/>
                <w:szCs w:val="18"/>
                <w:lang w:bidi="ar"/>
                <w14:textFill>
                  <w14:solidFill>
                    <w14:schemeClr w14:val="tx1"/>
                  </w14:solidFill>
                </w14:textFill>
              </w:rPr>
              <w:t>mg/d</w:t>
            </w:r>
          </w:p>
        </w:tc>
        <w:tc>
          <w:tcPr>
            <w:tcW w:w="3588" w:type="dxa"/>
            <w:tcBorders>
              <w:top w:val="single" w:color="000000" w:sz="4" w:space="0"/>
              <w:left w:val="single" w:color="000000" w:sz="4" w:space="0"/>
              <w:bottom w:val="single" w:color="000000" w:sz="4" w:space="0"/>
              <w:right w:val="single" w:color="000000" w:sz="4" w:space="0"/>
            </w:tcBorders>
            <w:vAlign w:val="center"/>
          </w:tcPr>
          <w:p w14:paraId="737C10DF">
            <w:pPr>
              <w:pStyle w:val="69"/>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1.老年人中阿司匹林引起大出血的风险显著增加。研究表明，在老年人开始一级预防时，缺乏获益且存在潜在损害。在长期服用阿司匹林的患者中，停用阿司匹林的证据较少，尽管类似的原则也可能适用于一级预防</w:t>
            </w:r>
          </w:p>
          <w:p w14:paraId="79A03511">
            <w:pPr>
              <w:pStyle w:val="69"/>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注：阿司匹林通常用于老年心血管疾病的二级预防</w:t>
            </w:r>
          </w:p>
          <w:p w14:paraId="1220C956">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2.增加出血风险，无增加疗效的证据</w:t>
            </w:r>
          </w:p>
        </w:tc>
        <w:tc>
          <w:tcPr>
            <w:tcW w:w="1104" w:type="dxa"/>
            <w:tcBorders>
              <w:top w:val="single" w:color="000000" w:sz="4" w:space="0"/>
              <w:left w:val="single" w:color="000000" w:sz="4" w:space="0"/>
              <w:bottom w:val="single" w:color="000000" w:sz="4" w:space="0"/>
              <w:right w:val="single" w:color="000000" w:sz="4" w:space="0"/>
            </w:tcBorders>
            <w:vAlign w:val="center"/>
          </w:tcPr>
          <w:p w14:paraId="0ED89AF9">
            <w:pPr>
              <w:pStyle w:val="69"/>
              <w:wordWrap w:val="0"/>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Beers Criteria（美国，2023）</w:t>
            </w:r>
          </w:p>
          <w:p w14:paraId="26BDF4D0">
            <w:pPr>
              <w:pStyle w:val="69"/>
              <w:wordWrap w:val="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STOOP START （爱尔兰，2023）</w:t>
            </w:r>
          </w:p>
        </w:tc>
      </w:tr>
      <w:tr w14:paraId="1C03A823">
        <w:tblPrEx>
          <w:tblCellMar>
            <w:top w:w="0" w:type="dxa"/>
            <w:left w:w="108" w:type="dxa"/>
            <w:bottom w:w="0" w:type="dxa"/>
            <w:right w:w="108" w:type="dxa"/>
          </w:tblCellMar>
        </w:tblPrEx>
        <w:trPr>
          <w:trHeight w:val="210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1BCE42B">
            <w:pPr>
              <w:pStyle w:val="69"/>
              <w:ind w:firstLine="360"/>
              <w:rPr>
                <w:rFonts w:ascii="Times New Roman" w:hAnsi="Times New Roman" w:cs="Times New Roman"/>
                <w:color w:val="000000" w:themeColor="text1"/>
                <w:sz w:val="18"/>
                <w:szCs w:val="18"/>
                <w14:textFill>
                  <w14:solidFill>
                    <w14:schemeClr w14:val="tx1"/>
                  </w14:solidFill>
                </w14:textFill>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68A0E3A">
            <w:pPr>
              <w:pStyle w:val="69"/>
              <w:ind w:firstLine="360"/>
              <w:jc w:val="left"/>
              <w:rPr>
                <w:rFonts w:ascii="Times New Roman" w:hAnsi="Times New Roman" w:cs="Times New Roman"/>
                <w:color w:val="000000" w:themeColor="text1"/>
                <w:sz w:val="18"/>
                <w:szCs w:val="18"/>
                <w14:textFill>
                  <w14:solidFill>
                    <w14:schemeClr w14:val="tx1"/>
                  </w14:solidFill>
                </w14:textFill>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6950A148">
            <w:pPr>
              <w:pStyle w:val="69"/>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双嘧达莫</w:t>
            </w:r>
          </w:p>
          <w:p w14:paraId="55483BAB">
            <w:pPr>
              <w:pStyle w:val="69"/>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1.口服短效（非复方制剂）</w:t>
            </w:r>
          </w:p>
          <w:p w14:paraId="4F25FA45">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2.用于存在显著出血风险的患者，如存在控制不佳的重度高血压、出血倾向或近期较重的自发性出血患者</w:t>
            </w:r>
          </w:p>
        </w:tc>
        <w:tc>
          <w:tcPr>
            <w:tcW w:w="3588" w:type="dxa"/>
            <w:tcBorders>
              <w:top w:val="single" w:color="000000" w:sz="4" w:space="0"/>
              <w:left w:val="single" w:color="000000" w:sz="4" w:space="0"/>
              <w:bottom w:val="single" w:color="000000" w:sz="4" w:space="0"/>
              <w:right w:val="single" w:color="000000" w:sz="4" w:space="0"/>
            </w:tcBorders>
            <w:vAlign w:val="center"/>
          </w:tcPr>
          <w:p w14:paraId="7EFEF929">
            <w:pPr>
              <w:pStyle w:val="69"/>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1.可能导致直立性低血压；有更有效的替代方案；静脉给药用于心脏负荷试验</w:t>
            </w:r>
          </w:p>
          <w:p w14:paraId="16A9A0C5">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2.增加出血风险</w:t>
            </w:r>
          </w:p>
        </w:tc>
        <w:tc>
          <w:tcPr>
            <w:tcW w:w="1104" w:type="dxa"/>
            <w:tcBorders>
              <w:top w:val="single" w:color="000000" w:sz="4" w:space="0"/>
              <w:left w:val="single" w:color="000000" w:sz="4" w:space="0"/>
              <w:bottom w:val="single" w:color="000000" w:sz="4" w:space="0"/>
              <w:right w:val="single" w:color="000000" w:sz="4" w:space="0"/>
            </w:tcBorders>
            <w:vAlign w:val="center"/>
          </w:tcPr>
          <w:p w14:paraId="0489573F">
            <w:pPr>
              <w:pStyle w:val="69"/>
              <w:wordWrap w:val="0"/>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Beers Criteria1（美国，2023）</w:t>
            </w:r>
          </w:p>
          <w:p w14:paraId="23E4CFC6">
            <w:pPr>
              <w:pStyle w:val="69"/>
              <w:wordWrap w:val="0"/>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STOOP START（爱尔兰，2023）</w:t>
            </w:r>
          </w:p>
        </w:tc>
      </w:tr>
      <w:tr w14:paraId="2CAD6111">
        <w:tblPrEx>
          <w:tblCellMar>
            <w:top w:w="0" w:type="dxa"/>
            <w:left w:w="108" w:type="dxa"/>
            <w:bottom w:w="0" w:type="dxa"/>
            <w:right w:w="108" w:type="dxa"/>
          </w:tblCellMar>
        </w:tblPrEx>
        <w:trPr>
          <w:trHeight w:val="162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53560BF3">
            <w:pPr>
              <w:pStyle w:val="69"/>
              <w:ind w:firstLine="360"/>
              <w:rPr>
                <w:rFonts w:ascii="Times New Roman" w:hAnsi="Times New Roman" w:cs="Times New Roman"/>
                <w:color w:val="000000" w:themeColor="text1"/>
                <w:sz w:val="18"/>
                <w:szCs w:val="18"/>
                <w14:textFill>
                  <w14:solidFill>
                    <w14:schemeClr w14:val="tx1"/>
                  </w14:solidFill>
                </w14:textFill>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7153CD3">
            <w:pPr>
              <w:pStyle w:val="69"/>
              <w:ind w:firstLine="360"/>
              <w:jc w:val="left"/>
              <w:rPr>
                <w:rFonts w:ascii="Times New Roman" w:hAnsi="Times New Roman" w:cs="Times New Roman"/>
                <w:color w:val="000000" w:themeColor="text1"/>
                <w:sz w:val="18"/>
                <w:szCs w:val="18"/>
                <w14:textFill>
                  <w14:solidFill>
                    <w14:schemeClr w14:val="tx1"/>
                  </w14:solidFill>
                </w14:textFill>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74CB326E">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普拉格雷*、替格瑞洛</w:t>
            </w:r>
          </w:p>
        </w:tc>
        <w:tc>
          <w:tcPr>
            <w:tcW w:w="3588" w:type="dxa"/>
            <w:tcBorders>
              <w:top w:val="single" w:color="000000" w:sz="4" w:space="0"/>
              <w:left w:val="single" w:color="000000" w:sz="4" w:space="0"/>
              <w:bottom w:val="single" w:color="000000" w:sz="4" w:space="0"/>
              <w:right w:val="single" w:color="000000" w:sz="4" w:space="0"/>
            </w:tcBorders>
            <w:vAlign w:val="center"/>
          </w:tcPr>
          <w:p w14:paraId="325AA69D">
            <w:pPr>
              <w:pStyle w:val="69"/>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与氯吡格雷相比，二者都会增加老年人大出血的风险，尤其是在75岁及以上的老年人。然而，这种风险可能会被特定患者的心血管获益所抵消</w:t>
            </w:r>
          </w:p>
        </w:tc>
        <w:tc>
          <w:tcPr>
            <w:tcW w:w="1104" w:type="dxa"/>
            <w:tcBorders>
              <w:top w:val="single" w:color="000000" w:sz="4" w:space="0"/>
              <w:left w:val="single" w:color="000000" w:sz="4" w:space="0"/>
              <w:bottom w:val="single" w:color="000000" w:sz="4" w:space="0"/>
              <w:right w:val="single" w:color="000000" w:sz="4" w:space="0"/>
            </w:tcBorders>
            <w:vAlign w:val="center"/>
          </w:tcPr>
          <w:p w14:paraId="5AB6AA3A">
            <w:pPr>
              <w:pStyle w:val="69"/>
              <w:wordWrap w:val="0"/>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Beers Criteria（美国，2023）</w:t>
            </w:r>
          </w:p>
        </w:tc>
      </w:tr>
      <w:tr w14:paraId="71D7E28B">
        <w:tblPrEx>
          <w:tblCellMar>
            <w:top w:w="0" w:type="dxa"/>
            <w:left w:w="108" w:type="dxa"/>
            <w:bottom w:w="0" w:type="dxa"/>
            <w:right w:w="108" w:type="dxa"/>
          </w:tblCellMar>
        </w:tblPrEx>
        <w:trPr>
          <w:trHeight w:val="1840" w:hRule="atLeast"/>
        </w:trPr>
        <w:tc>
          <w:tcPr>
            <w:tcW w:w="396" w:type="dxa"/>
            <w:tcBorders>
              <w:top w:val="single" w:color="000000" w:sz="4" w:space="0"/>
              <w:left w:val="single" w:color="000000" w:sz="4" w:space="0"/>
              <w:bottom w:val="single" w:color="000000" w:sz="4" w:space="0"/>
              <w:right w:val="single" w:color="000000" w:sz="4" w:space="0"/>
            </w:tcBorders>
            <w:vAlign w:val="center"/>
          </w:tcPr>
          <w:p w14:paraId="12719588">
            <w:pPr>
              <w:pStyle w:val="69"/>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w:t>
            </w:r>
          </w:p>
        </w:tc>
        <w:tc>
          <w:tcPr>
            <w:tcW w:w="743" w:type="dxa"/>
            <w:tcBorders>
              <w:top w:val="single" w:color="000000" w:sz="4" w:space="0"/>
              <w:left w:val="single" w:color="000000" w:sz="4" w:space="0"/>
              <w:bottom w:val="single" w:color="000000" w:sz="4" w:space="0"/>
              <w:right w:val="single" w:color="000000" w:sz="4" w:space="0"/>
            </w:tcBorders>
            <w:vAlign w:val="center"/>
          </w:tcPr>
          <w:p w14:paraId="2A823968">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抗凝药物</w:t>
            </w:r>
          </w:p>
        </w:tc>
        <w:tc>
          <w:tcPr>
            <w:tcW w:w="2471" w:type="dxa"/>
            <w:tcBorders>
              <w:top w:val="single" w:color="000000" w:sz="4" w:space="0"/>
              <w:left w:val="single" w:color="000000" w:sz="4" w:space="0"/>
              <w:bottom w:val="single" w:color="000000" w:sz="4" w:space="0"/>
              <w:right w:val="single" w:color="000000" w:sz="4" w:space="0"/>
            </w:tcBorders>
            <w:vAlign w:val="center"/>
          </w:tcPr>
          <w:p w14:paraId="60E10AB2">
            <w:pPr>
              <w:pStyle w:val="69"/>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依诺肝素、磺达肝癸钠</w:t>
            </w:r>
          </w:p>
          <w:p w14:paraId="3464262E">
            <w:pPr>
              <w:pStyle w:val="69"/>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1.用于在CrCl</w:t>
            </w:r>
            <w:r>
              <w:rPr>
                <w:rFonts w:hint="eastAsia" w:ascii="Times New Roman" w:hAnsi="Times New Roman" w:cs="Times New Roman"/>
                <w:color w:val="000000" w:themeColor="text1"/>
                <w:sz w:val="18"/>
                <w:szCs w:val="18"/>
                <w:lang w:bidi="ar"/>
                <w14:textFill>
                  <w14:solidFill>
                    <w14:schemeClr w14:val="tx1"/>
                  </w14:solidFill>
                </w14:textFill>
              </w:rPr>
              <w:t>＜</w:t>
            </w:r>
            <w:r>
              <w:rPr>
                <w:rFonts w:ascii="Times New Roman" w:hAnsi="Times New Roman" w:cs="Times New Roman"/>
                <w:color w:val="000000" w:themeColor="text1"/>
                <w:sz w:val="18"/>
                <w:szCs w:val="18"/>
                <w:lang w:bidi="ar"/>
                <w14:textFill>
                  <w14:solidFill>
                    <w14:schemeClr w14:val="tx1"/>
                  </w14:solidFill>
                </w14:textFill>
              </w:rPr>
              <w:t>30</w:t>
            </w:r>
            <w:r>
              <w:rPr>
                <w:rFonts w:hint="eastAsia" w:ascii="Times New Roman" w:hAnsi="Times New Roman" w:cs="Times New Roman"/>
                <w:color w:val="000000" w:themeColor="text1"/>
                <w:sz w:val="18"/>
                <w:szCs w:val="18"/>
                <w:lang w:bidi="ar"/>
                <w14:textFill>
                  <w14:solidFill>
                    <w14:schemeClr w14:val="tx1"/>
                  </w14:solidFill>
                </w14:textFill>
              </w:rPr>
              <w:t xml:space="preserve"> </w:t>
            </w:r>
            <w:r>
              <w:rPr>
                <w:rFonts w:ascii="Times New Roman" w:hAnsi="Times New Roman" w:cs="Times New Roman"/>
                <w:color w:val="000000" w:themeColor="text1"/>
                <w:sz w:val="18"/>
                <w:szCs w:val="18"/>
                <w:lang w:bidi="ar"/>
                <w14:textFill>
                  <w14:solidFill>
                    <w14:schemeClr w14:val="tx1"/>
                  </w14:solidFill>
                </w14:textFill>
              </w:rPr>
              <w:t>ml/min的患者</w:t>
            </w:r>
          </w:p>
          <w:p w14:paraId="0119928C">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2.用于存在显著出血风险的患者，如出血倾向或近期较重的自发性出血患者</w:t>
            </w:r>
          </w:p>
        </w:tc>
        <w:tc>
          <w:tcPr>
            <w:tcW w:w="3588" w:type="dxa"/>
            <w:tcBorders>
              <w:top w:val="single" w:color="000000" w:sz="4" w:space="0"/>
              <w:left w:val="single" w:color="000000" w:sz="4" w:space="0"/>
              <w:bottom w:val="single" w:color="000000" w:sz="4" w:space="0"/>
              <w:right w:val="single" w:color="000000" w:sz="4" w:space="0"/>
            </w:tcBorders>
            <w:vAlign w:val="center"/>
          </w:tcPr>
          <w:p w14:paraId="4D17C48C">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出血风险增加</w:t>
            </w:r>
          </w:p>
        </w:tc>
        <w:tc>
          <w:tcPr>
            <w:tcW w:w="1104" w:type="dxa"/>
            <w:tcBorders>
              <w:top w:val="single" w:color="000000" w:sz="4" w:space="0"/>
              <w:left w:val="single" w:color="000000" w:sz="4" w:space="0"/>
              <w:bottom w:val="single" w:color="000000" w:sz="4" w:space="0"/>
              <w:right w:val="single" w:color="000000" w:sz="4" w:space="0"/>
            </w:tcBorders>
            <w:vAlign w:val="center"/>
          </w:tcPr>
          <w:p w14:paraId="23DC17D6">
            <w:pPr>
              <w:pStyle w:val="69"/>
              <w:wordWrap w:val="0"/>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Beers Criteria（美国，2023）</w:t>
            </w:r>
          </w:p>
          <w:p w14:paraId="4D8B3E0A">
            <w:pPr>
              <w:pStyle w:val="69"/>
              <w:wordWrap w:val="0"/>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STOOP START （爱尔兰，2023）</w:t>
            </w:r>
          </w:p>
        </w:tc>
      </w:tr>
      <w:tr w14:paraId="30BBC546">
        <w:tblPrEx>
          <w:tblCellMar>
            <w:top w:w="0" w:type="dxa"/>
            <w:left w:w="108" w:type="dxa"/>
            <w:bottom w:w="0" w:type="dxa"/>
            <w:right w:w="108" w:type="dxa"/>
          </w:tblCellMar>
        </w:tblPrEx>
        <w:trPr>
          <w:trHeight w:val="1066" w:hRule="atLeast"/>
        </w:trPr>
        <w:tc>
          <w:tcPr>
            <w:tcW w:w="396" w:type="dxa"/>
            <w:vMerge w:val="restart"/>
            <w:tcBorders>
              <w:top w:val="single" w:color="000000" w:sz="4" w:space="0"/>
              <w:left w:val="single" w:color="000000" w:sz="4" w:space="0"/>
              <w:bottom w:val="single" w:color="000000" w:sz="4" w:space="0"/>
              <w:right w:val="single" w:color="000000" w:sz="4" w:space="0"/>
            </w:tcBorders>
            <w:vAlign w:val="center"/>
          </w:tcPr>
          <w:p w14:paraId="021AD155">
            <w:pPr>
              <w:pStyle w:val="69"/>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3</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9DD4D78">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降压药</w:t>
            </w:r>
          </w:p>
        </w:tc>
        <w:tc>
          <w:tcPr>
            <w:tcW w:w="2471" w:type="dxa"/>
            <w:tcBorders>
              <w:top w:val="single" w:color="000000" w:sz="4" w:space="0"/>
              <w:left w:val="single" w:color="000000" w:sz="4" w:space="0"/>
              <w:bottom w:val="single" w:color="000000" w:sz="4" w:space="0"/>
              <w:right w:val="single" w:color="000000" w:sz="4" w:space="0"/>
            </w:tcBorders>
            <w:vAlign w:val="center"/>
          </w:tcPr>
          <w:p w14:paraId="19F1D927">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非选择性外周</w:t>
            </w:r>
            <w:r>
              <w:rPr>
                <w:rFonts w:ascii="Times New Roman" w:hAnsi="Times New Roman" w:cs="Times New Roman"/>
                <w:i/>
                <w:iCs/>
                <w:color w:val="000000" w:themeColor="text1"/>
                <w:sz w:val="18"/>
                <w:szCs w:val="18"/>
                <w:lang w:bidi="ar"/>
                <w14:textFill>
                  <w14:solidFill>
                    <w14:schemeClr w14:val="tx1"/>
                  </w14:solidFill>
                </w14:textFill>
              </w:rPr>
              <w:t>α</w:t>
            </w:r>
            <w:r>
              <w:rPr>
                <w:rFonts w:hint="eastAsia" w:ascii="Times New Roman" w:hAnsi="Times New Roman" w:cs="Times New Roman"/>
                <w:color w:val="000000" w:themeColor="text1"/>
                <w:sz w:val="18"/>
                <w:szCs w:val="18"/>
                <w:lang w:bidi="ar"/>
                <w14:textFill>
                  <w14:solidFill>
                    <w14:schemeClr w14:val="tx1"/>
                  </w14:solidFill>
                </w14:textFill>
              </w:rPr>
              <w:t>1</w:t>
            </w:r>
            <w:r>
              <w:rPr>
                <w:rFonts w:ascii="Times New Roman" w:hAnsi="Times New Roman" w:cs="Times New Roman"/>
                <w:color w:val="000000" w:themeColor="text1"/>
                <w:sz w:val="18"/>
                <w:szCs w:val="18"/>
                <w:lang w:bidi="ar"/>
                <w14:textFill>
                  <w14:solidFill>
                    <w14:schemeClr w14:val="tx1"/>
                  </w14:solidFill>
                </w14:textFill>
              </w:rPr>
              <w:t>受体阻滞剂治疗高血压：哌唑嗪、特拉唑嗪、米诺地尔</w:t>
            </w:r>
          </w:p>
        </w:tc>
        <w:tc>
          <w:tcPr>
            <w:tcW w:w="3588" w:type="dxa"/>
            <w:tcBorders>
              <w:top w:val="single" w:color="000000" w:sz="4" w:space="0"/>
              <w:left w:val="single" w:color="000000" w:sz="4" w:space="0"/>
              <w:bottom w:val="single" w:color="000000" w:sz="4" w:space="0"/>
              <w:right w:val="single" w:color="000000" w:sz="4" w:space="0"/>
            </w:tcBorders>
            <w:vAlign w:val="center"/>
          </w:tcPr>
          <w:p w14:paraId="6E246E81">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直立性低血压及其相关危害的高风险，特别是在老年人中；不建议作为高血压的常规治疗；替代药物具有更好的获益/风险比，增加跌倒风险</w:t>
            </w:r>
          </w:p>
        </w:tc>
        <w:tc>
          <w:tcPr>
            <w:tcW w:w="1104" w:type="dxa"/>
            <w:tcBorders>
              <w:top w:val="single" w:color="000000" w:sz="4" w:space="0"/>
              <w:left w:val="single" w:color="000000" w:sz="4" w:space="0"/>
              <w:bottom w:val="single" w:color="000000" w:sz="4" w:space="0"/>
              <w:right w:val="single" w:color="000000" w:sz="4" w:space="0"/>
            </w:tcBorders>
            <w:vAlign w:val="center"/>
          </w:tcPr>
          <w:p w14:paraId="06B033B1">
            <w:pPr>
              <w:pStyle w:val="69"/>
              <w:wordWrap w:val="0"/>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Beers Criteria（美国，2023）</w:t>
            </w:r>
          </w:p>
        </w:tc>
      </w:tr>
      <w:tr w14:paraId="0F0D74D2">
        <w:tblPrEx>
          <w:tblCellMar>
            <w:top w:w="0" w:type="dxa"/>
            <w:left w:w="108" w:type="dxa"/>
            <w:bottom w:w="0" w:type="dxa"/>
            <w:right w:w="108" w:type="dxa"/>
          </w:tblCellMar>
        </w:tblPrEx>
        <w:trPr>
          <w:trHeight w:val="968"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2E8BDC35">
            <w:pPr>
              <w:pStyle w:val="69"/>
              <w:ind w:firstLine="360"/>
              <w:rPr>
                <w:rFonts w:ascii="Times New Roman" w:hAnsi="Times New Roman" w:cs="Times New Roman"/>
                <w:color w:val="000000" w:themeColor="text1"/>
                <w:sz w:val="18"/>
                <w:szCs w:val="18"/>
                <w14:textFill>
                  <w14:solidFill>
                    <w14:schemeClr w14:val="tx1"/>
                  </w14:solidFill>
                </w14:textFill>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68BA58F">
            <w:pPr>
              <w:pStyle w:val="69"/>
              <w:ind w:firstLine="360"/>
              <w:jc w:val="left"/>
              <w:rPr>
                <w:rFonts w:ascii="Times New Roman" w:hAnsi="Times New Roman" w:cs="Times New Roman"/>
                <w:color w:val="000000" w:themeColor="text1"/>
                <w:sz w:val="18"/>
                <w:szCs w:val="18"/>
                <w14:textFill>
                  <w14:solidFill>
                    <w14:schemeClr w14:val="tx1"/>
                  </w14:solidFill>
                </w14:textFill>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765B43A6">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中枢</w:t>
            </w:r>
            <w:r>
              <w:rPr>
                <w:rFonts w:ascii="Times New Roman" w:hAnsi="Times New Roman" w:cs="Times New Roman"/>
                <w:i/>
                <w:iCs/>
                <w:color w:val="000000" w:themeColor="text1"/>
                <w:sz w:val="18"/>
                <w:szCs w:val="18"/>
                <w:lang w:bidi="ar"/>
                <w14:textFill>
                  <w14:solidFill>
                    <w14:schemeClr w14:val="tx1"/>
                  </w14:solidFill>
                </w14:textFill>
              </w:rPr>
              <w:t>α</w:t>
            </w:r>
            <w:r>
              <w:rPr>
                <w:rFonts w:ascii="Times New Roman" w:hAnsi="Times New Roman" w:cs="Times New Roman"/>
                <w:color w:val="000000" w:themeColor="text1"/>
                <w:sz w:val="18"/>
                <w:szCs w:val="18"/>
                <w:lang w:bidi="ar"/>
                <w14:textFill>
                  <w14:solidFill>
                    <w14:schemeClr w14:val="tx1"/>
                  </w14:solidFill>
                </w14:textFill>
              </w:rPr>
              <w:t>受体激动剂治疗高血压：甲基多巴、可乐定、胍法辛</w:t>
            </w:r>
            <w:r>
              <w:rPr>
                <w:rFonts w:ascii="Times New Roman" w:hAnsi="Times New Roman" w:cs="Times New Roman"/>
                <w:color w:val="000000" w:themeColor="text1"/>
                <w:lang w:bidi="ar"/>
                <w14:textFill>
                  <w14:solidFill>
                    <w14:schemeClr w14:val="tx1"/>
                  </w14:solidFill>
                </w14:textFill>
              </w:rPr>
              <w:t>*</w:t>
            </w:r>
            <w:r>
              <w:rPr>
                <w:rFonts w:ascii="Times New Roman" w:hAnsi="Times New Roman" w:cs="Times New Roman"/>
                <w:color w:val="000000" w:themeColor="text1"/>
                <w:sz w:val="18"/>
                <w:szCs w:val="18"/>
                <w:lang w:bidi="ar"/>
                <w14:textFill>
                  <w14:solidFill>
                    <w14:schemeClr w14:val="tx1"/>
                  </w14:solidFill>
                </w14:textFill>
              </w:rPr>
              <w:t>、双肼屈嗪、肼屈嗪</w:t>
            </w:r>
          </w:p>
        </w:tc>
        <w:tc>
          <w:tcPr>
            <w:tcW w:w="3588" w:type="dxa"/>
            <w:tcBorders>
              <w:top w:val="single" w:color="000000" w:sz="4" w:space="0"/>
              <w:left w:val="single" w:color="000000" w:sz="4" w:space="0"/>
              <w:bottom w:val="single" w:color="000000" w:sz="4" w:space="0"/>
              <w:right w:val="single" w:color="000000" w:sz="4" w:space="0"/>
            </w:tcBorders>
            <w:vAlign w:val="center"/>
          </w:tcPr>
          <w:p w14:paraId="263F3C4E">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中枢神经系统不良反应的高风险；可能导致心动过缓和直立性低血压；增加跌倒风险，不推荐作为高血压的常规治疗</w:t>
            </w:r>
          </w:p>
        </w:tc>
        <w:tc>
          <w:tcPr>
            <w:tcW w:w="1104" w:type="dxa"/>
            <w:tcBorders>
              <w:top w:val="single" w:color="000000" w:sz="4" w:space="0"/>
              <w:left w:val="single" w:color="000000" w:sz="4" w:space="0"/>
              <w:bottom w:val="single" w:color="000000" w:sz="4" w:space="0"/>
              <w:right w:val="single" w:color="000000" w:sz="4" w:space="0"/>
            </w:tcBorders>
            <w:vAlign w:val="center"/>
          </w:tcPr>
          <w:p w14:paraId="62F93FB2">
            <w:pPr>
              <w:pStyle w:val="69"/>
              <w:wordWrap w:val="0"/>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Beers Criteria（美国，2023）</w:t>
            </w:r>
          </w:p>
        </w:tc>
      </w:tr>
      <w:tr w14:paraId="6957A360">
        <w:tblPrEx>
          <w:tblCellMar>
            <w:top w:w="0" w:type="dxa"/>
            <w:left w:w="108" w:type="dxa"/>
            <w:bottom w:w="0" w:type="dxa"/>
            <w:right w:w="108" w:type="dxa"/>
          </w:tblCellMar>
        </w:tblPrEx>
        <w:trPr>
          <w:trHeight w:val="537"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12475803">
            <w:pPr>
              <w:pStyle w:val="69"/>
              <w:ind w:firstLine="360"/>
              <w:rPr>
                <w:rFonts w:ascii="Times New Roman" w:hAnsi="Times New Roman" w:cs="Times New Roman"/>
                <w:color w:val="000000" w:themeColor="text1"/>
                <w:sz w:val="18"/>
                <w:szCs w:val="18"/>
                <w14:textFill>
                  <w14:solidFill>
                    <w14:schemeClr w14:val="tx1"/>
                  </w14:solidFill>
                </w14:textFill>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60815A6">
            <w:pPr>
              <w:pStyle w:val="69"/>
              <w:ind w:firstLine="360"/>
              <w:jc w:val="left"/>
              <w:rPr>
                <w:rFonts w:ascii="Times New Roman" w:hAnsi="Times New Roman" w:cs="Times New Roman"/>
                <w:color w:val="000000" w:themeColor="text1"/>
                <w:sz w:val="18"/>
                <w:szCs w:val="18"/>
                <w14:textFill>
                  <w14:solidFill>
                    <w14:schemeClr w14:val="tx1"/>
                  </w14:solidFill>
                </w14:textFill>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0F3361BE">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硝苯地平（速释）</w:t>
            </w:r>
          </w:p>
        </w:tc>
        <w:tc>
          <w:tcPr>
            <w:tcW w:w="3588" w:type="dxa"/>
            <w:tcBorders>
              <w:top w:val="single" w:color="000000" w:sz="4" w:space="0"/>
              <w:left w:val="single" w:color="000000" w:sz="4" w:space="0"/>
              <w:bottom w:val="single" w:color="000000" w:sz="4" w:space="0"/>
              <w:right w:val="single" w:color="000000" w:sz="4" w:space="0"/>
            </w:tcBorders>
            <w:vAlign w:val="center"/>
          </w:tcPr>
          <w:p w14:paraId="413960BC">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低血压；诱发心肌缺血的风险</w:t>
            </w:r>
          </w:p>
        </w:tc>
        <w:tc>
          <w:tcPr>
            <w:tcW w:w="1104" w:type="dxa"/>
            <w:tcBorders>
              <w:top w:val="single" w:color="000000" w:sz="4" w:space="0"/>
              <w:left w:val="single" w:color="000000" w:sz="4" w:space="0"/>
              <w:bottom w:val="single" w:color="000000" w:sz="4" w:space="0"/>
              <w:right w:val="single" w:color="000000" w:sz="4" w:space="0"/>
            </w:tcBorders>
            <w:vAlign w:val="center"/>
          </w:tcPr>
          <w:p w14:paraId="5140D44D">
            <w:pPr>
              <w:pStyle w:val="69"/>
              <w:wordWrap w:val="0"/>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Beers Criteria（美国，2023）</w:t>
            </w:r>
          </w:p>
          <w:p w14:paraId="3F1D7D2B">
            <w:pPr>
              <w:pStyle w:val="69"/>
              <w:wordWrap w:val="0"/>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PRISCUS列表（德国，2023）</w:t>
            </w:r>
          </w:p>
        </w:tc>
      </w:tr>
      <w:tr w14:paraId="0F2DCFCB">
        <w:tblPrEx>
          <w:tblCellMar>
            <w:top w:w="0" w:type="dxa"/>
            <w:left w:w="108" w:type="dxa"/>
            <w:bottom w:w="0" w:type="dxa"/>
            <w:right w:w="108" w:type="dxa"/>
          </w:tblCellMar>
        </w:tblPrEx>
        <w:trPr>
          <w:trHeight w:val="1328" w:hRule="atLeast"/>
        </w:trPr>
        <w:tc>
          <w:tcPr>
            <w:tcW w:w="396" w:type="dxa"/>
            <w:vMerge w:val="restart"/>
            <w:tcBorders>
              <w:top w:val="single" w:color="000000" w:sz="4" w:space="0"/>
              <w:left w:val="single" w:color="000000" w:sz="4" w:space="0"/>
              <w:bottom w:val="single" w:color="000000" w:sz="4" w:space="0"/>
              <w:right w:val="single" w:color="000000" w:sz="4" w:space="0"/>
            </w:tcBorders>
            <w:vAlign w:val="center"/>
          </w:tcPr>
          <w:p w14:paraId="62238206">
            <w:pPr>
              <w:pStyle w:val="69"/>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4</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07400C74">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利尿剂</w:t>
            </w:r>
          </w:p>
        </w:tc>
        <w:tc>
          <w:tcPr>
            <w:tcW w:w="2471" w:type="dxa"/>
            <w:tcBorders>
              <w:top w:val="single" w:color="000000" w:sz="4" w:space="0"/>
              <w:left w:val="single" w:color="000000" w:sz="4" w:space="0"/>
              <w:bottom w:val="single" w:color="000000" w:sz="4" w:space="0"/>
              <w:right w:val="single" w:color="000000" w:sz="4" w:space="0"/>
            </w:tcBorders>
            <w:vAlign w:val="center"/>
          </w:tcPr>
          <w:p w14:paraId="3F2A83AD">
            <w:pPr>
              <w:pStyle w:val="69"/>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螺内酯</w:t>
            </w:r>
          </w:p>
          <w:p w14:paraId="5D0A4CE7">
            <w:pPr>
              <w:pStyle w:val="69"/>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1.用于在CrCl</w:t>
            </w:r>
            <w:r>
              <w:rPr>
                <w:rFonts w:hint="eastAsia" w:ascii="Times New Roman" w:hAnsi="Times New Roman" w:cs="Times New Roman"/>
                <w:color w:val="000000" w:themeColor="text1"/>
                <w:sz w:val="18"/>
                <w:szCs w:val="18"/>
                <w:lang w:bidi="ar"/>
                <w14:textFill>
                  <w14:solidFill>
                    <w14:schemeClr w14:val="tx1"/>
                  </w14:solidFill>
                </w14:textFill>
              </w:rPr>
              <w:t>＜</w:t>
            </w:r>
            <w:r>
              <w:rPr>
                <w:rFonts w:ascii="Times New Roman" w:hAnsi="Times New Roman" w:cs="Times New Roman"/>
                <w:color w:val="000000" w:themeColor="text1"/>
                <w:sz w:val="18"/>
                <w:szCs w:val="18"/>
                <w:lang w:bidi="ar"/>
                <w14:textFill>
                  <w14:solidFill>
                    <w14:schemeClr w14:val="tx1"/>
                  </w14:solidFill>
                </w14:textFill>
              </w:rPr>
              <w:t>30</w:t>
            </w:r>
            <w:r>
              <w:rPr>
                <w:rFonts w:hint="eastAsia" w:ascii="Times New Roman" w:hAnsi="Times New Roman" w:cs="Times New Roman"/>
                <w:color w:val="000000" w:themeColor="text1"/>
                <w:sz w:val="18"/>
                <w:szCs w:val="18"/>
                <w:lang w:bidi="ar"/>
                <w14:textFill>
                  <w14:solidFill>
                    <w14:schemeClr w14:val="tx1"/>
                  </w14:solidFill>
                </w14:textFill>
              </w:rPr>
              <w:t xml:space="preserve"> </w:t>
            </w:r>
            <w:r>
              <w:rPr>
                <w:rFonts w:ascii="Times New Roman" w:hAnsi="Times New Roman" w:cs="Times New Roman"/>
                <w:color w:val="000000" w:themeColor="text1"/>
                <w:sz w:val="18"/>
                <w:szCs w:val="18"/>
                <w:lang w:bidi="ar"/>
                <w14:textFill>
                  <w14:solidFill>
                    <w14:schemeClr w14:val="tx1"/>
                  </w14:solidFill>
                </w14:textFill>
              </w:rPr>
              <w:t>ml/min的患者</w:t>
            </w:r>
          </w:p>
          <w:p w14:paraId="6F351793">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2.</w:t>
            </w:r>
            <w:r>
              <w:rPr>
                <w:rFonts w:hint="eastAsia" w:ascii="Times New Roman" w:hAnsi="Times New Roman" w:cs="Times New Roman"/>
                <w:color w:val="000000" w:themeColor="text1"/>
                <w:sz w:val="18"/>
                <w:szCs w:val="18"/>
                <w:lang w:bidi="ar"/>
                <w14:textFill>
                  <w14:solidFill>
                    <w14:schemeClr w14:val="tx1"/>
                  </w14:solidFill>
                </w14:textFill>
              </w:rPr>
              <w:t>＞</w:t>
            </w:r>
            <w:r>
              <w:rPr>
                <w:rFonts w:ascii="Times New Roman" w:hAnsi="Times New Roman" w:cs="Times New Roman"/>
                <w:color w:val="000000" w:themeColor="text1"/>
                <w:sz w:val="18"/>
                <w:szCs w:val="18"/>
                <w:lang w:bidi="ar"/>
                <w14:textFill>
                  <w14:solidFill>
                    <w14:schemeClr w14:val="tx1"/>
                  </w14:solidFill>
                </w14:textFill>
              </w:rPr>
              <w:t>25mg/天</w:t>
            </w:r>
          </w:p>
        </w:tc>
        <w:tc>
          <w:tcPr>
            <w:tcW w:w="3588" w:type="dxa"/>
            <w:tcBorders>
              <w:top w:val="single" w:color="000000" w:sz="4" w:space="0"/>
              <w:left w:val="single" w:color="000000" w:sz="4" w:space="0"/>
              <w:bottom w:val="single" w:color="000000" w:sz="4" w:space="0"/>
              <w:right w:val="single" w:color="000000" w:sz="4" w:space="0"/>
            </w:tcBorders>
            <w:vAlign w:val="center"/>
          </w:tcPr>
          <w:p w14:paraId="62D6648D">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存在高钾血症的风险</w:t>
            </w:r>
          </w:p>
        </w:tc>
        <w:tc>
          <w:tcPr>
            <w:tcW w:w="1104" w:type="dxa"/>
            <w:tcBorders>
              <w:top w:val="single" w:color="000000" w:sz="4" w:space="0"/>
              <w:left w:val="single" w:color="000000" w:sz="4" w:space="0"/>
              <w:bottom w:val="single" w:color="000000" w:sz="4" w:space="0"/>
              <w:right w:val="single" w:color="000000" w:sz="4" w:space="0"/>
            </w:tcBorders>
            <w:vAlign w:val="center"/>
          </w:tcPr>
          <w:p w14:paraId="55DC62B1">
            <w:pPr>
              <w:pStyle w:val="69"/>
              <w:wordWrap w:val="0"/>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Beers Criteria（美国，2023）</w:t>
            </w:r>
          </w:p>
          <w:p w14:paraId="02C3089B">
            <w:pPr>
              <w:pStyle w:val="69"/>
              <w:wordWrap w:val="0"/>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PRISCUS列表（德国，2023）</w:t>
            </w:r>
          </w:p>
        </w:tc>
      </w:tr>
      <w:tr w14:paraId="1ED372CD">
        <w:tblPrEx>
          <w:tblCellMar>
            <w:top w:w="0" w:type="dxa"/>
            <w:left w:w="108" w:type="dxa"/>
            <w:bottom w:w="0" w:type="dxa"/>
            <w:right w:w="108" w:type="dxa"/>
          </w:tblCellMar>
        </w:tblPrEx>
        <w:trPr>
          <w:trHeight w:val="60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6B895C0A">
            <w:pPr>
              <w:pStyle w:val="69"/>
              <w:ind w:firstLine="360"/>
              <w:rPr>
                <w:rFonts w:ascii="Times New Roman" w:hAnsi="Times New Roman" w:cs="Times New Roman"/>
                <w:color w:val="000000" w:themeColor="text1"/>
                <w:sz w:val="18"/>
                <w:szCs w:val="18"/>
                <w14:textFill>
                  <w14:solidFill>
                    <w14:schemeClr w14:val="tx1"/>
                  </w14:solidFill>
                </w14:textFill>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F9CCC72">
            <w:pPr>
              <w:pStyle w:val="69"/>
              <w:ind w:firstLine="360"/>
              <w:jc w:val="left"/>
              <w:rPr>
                <w:rFonts w:ascii="Times New Roman" w:hAnsi="Times New Roman" w:cs="Times New Roman"/>
                <w:color w:val="000000" w:themeColor="text1"/>
                <w:sz w:val="18"/>
                <w:szCs w:val="18"/>
                <w14:textFill>
                  <w14:solidFill>
                    <w14:schemeClr w14:val="tx1"/>
                  </w14:solidFill>
                </w14:textFill>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0D5BD89B">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依普利酮用于eGFR</w:t>
            </w:r>
            <w:r>
              <w:rPr>
                <w:rFonts w:hint="eastAsia" w:ascii="Times New Roman" w:hAnsi="Times New Roman" w:cs="Times New Roman"/>
                <w:color w:val="000000" w:themeColor="text1"/>
                <w:sz w:val="18"/>
                <w:szCs w:val="18"/>
                <w:lang w:bidi="ar"/>
                <w14:textFill>
                  <w14:solidFill>
                    <w14:schemeClr w14:val="tx1"/>
                  </w14:solidFill>
                </w14:textFill>
              </w:rPr>
              <w:t>＜</w:t>
            </w:r>
            <w:r>
              <w:rPr>
                <w:rFonts w:ascii="Times New Roman" w:hAnsi="Times New Roman" w:cs="Times New Roman"/>
                <w:color w:val="000000" w:themeColor="text1"/>
                <w:sz w:val="18"/>
                <w:szCs w:val="18"/>
                <w:lang w:bidi="ar"/>
                <w14:textFill>
                  <w14:solidFill>
                    <w14:schemeClr w14:val="tx1"/>
                  </w14:solidFill>
                </w14:textFill>
              </w:rPr>
              <w:t>30 ml</w:t>
            </w:r>
            <w:r>
              <w:rPr>
                <w:rFonts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sz w:val="18"/>
                <w:szCs w:val="18"/>
                <w:lang w:bidi="ar"/>
                <w14:textFill>
                  <w14:solidFill>
                    <w14:schemeClr w14:val="tx1"/>
                  </w14:solidFill>
                </w14:textFill>
              </w:rPr>
              <w:t>min</w:t>
            </w:r>
            <w:r>
              <w:rPr>
                <w:rFonts w:ascii="Times New Roman" w:hAnsi="Times New Roman" w:cs="Times New Roman"/>
                <w:color w:val="000000" w:themeColor="text1"/>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sz w:val="18"/>
                <w:szCs w:val="18"/>
                <w:lang w:bidi="ar"/>
                <w14:textFill>
                  <w14:solidFill>
                    <w14:schemeClr w14:val="tx1"/>
                  </w14:solidFill>
                </w14:textFill>
              </w:rPr>
              <w:t>1.73 m</w:t>
            </w:r>
            <w:r>
              <w:rPr>
                <w:rFonts w:ascii="Times New Roman" w:hAnsi="Times New Roman" w:cs="Times New Roman"/>
                <w:color w:val="000000" w:themeColor="text1"/>
                <w:sz w:val="18"/>
                <w:szCs w:val="18"/>
                <w:vertAlign w:val="superscript"/>
                <w:lang w:bidi="ar"/>
                <w14:textFill>
                  <w14:solidFill>
                    <w14:schemeClr w14:val="tx1"/>
                  </w14:solidFill>
                </w14:textFill>
              </w:rPr>
              <w:t>-2</w:t>
            </w:r>
            <w:r>
              <w:rPr>
                <w:rFonts w:ascii="Times New Roman" w:hAnsi="Times New Roman" w:cs="Times New Roman"/>
                <w:color w:val="000000" w:themeColor="text1"/>
                <w:sz w:val="18"/>
                <w:szCs w:val="18"/>
                <w:lang w:bidi="ar"/>
                <w14:textFill>
                  <w14:solidFill>
                    <w14:schemeClr w14:val="tx1"/>
                  </w14:solidFill>
                </w14:textFill>
              </w:rPr>
              <w:t>的患者</w:t>
            </w:r>
          </w:p>
        </w:tc>
        <w:tc>
          <w:tcPr>
            <w:tcW w:w="3588" w:type="dxa"/>
            <w:tcBorders>
              <w:top w:val="single" w:color="000000" w:sz="4" w:space="0"/>
              <w:left w:val="single" w:color="000000" w:sz="4" w:space="0"/>
              <w:bottom w:val="single" w:color="000000" w:sz="4" w:space="0"/>
              <w:right w:val="single" w:color="000000" w:sz="4" w:space="0"/>
            </w:tcBorders>
            <w:vAlign w:val="center"/>
          </w:tcPr>
          <w:p w14:paraId="179165B6">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存在高钾血症的风险</w:t>
            </w:r>
          </w:p>
        </w:tc>
        <w:tc>
          <w:tcPr>
            <w:tcW w:w="1104" w:type="dxa"/>
            <w:tcBorders>
              <w:top w:val="single" w:color="000000" w:sz="4" w:space="0"/>
              <w:left w:val="single" w:color="000000" w:sz="4" w:space="0"/>
              <w:bottom w:val="single" w:color="000000" w:sz="4" w:space="0"/>
              <w:right w:val="single" w:color="000000" w:sz="4" w:space="0"/>
            </w:tcBorders>
            <w:vAlign w:val="center"/>
          </w:tcPr>
          <w:p w14:paraId="3FF7C1D2">
            <w:pPr>
              <w:pStyle w:val="69"/>
              <w:wordWrap w:val="0"/>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STOOP START （爱尔兰，2023）</w:t>
            </w:r>
          </w:p>
        </w:tc>
      </w:tr>
      <w:tr w14:paraId="0FE17A0A">
        <w:tblPrEx>
          <w:tblCellMar>
            <w:top w:w="0" w:type="dxa"/>
            <w:left w:w="108" w:type="dxa"/>
            <w:bottom w:w="0" w:type="dxa"/>
            <w:right w:w="108" w:type="dxa"/>
          </w:tblCellMar>
        </w:tblPrEx>
        <w:trPr>
          <w:trHeight w:val="640" w:hRule="atLeast"/>
        </w:trPr>
        <w:tc>
          <w:tcPr>
            <w:tcW w:w="396" w:type="dxa"/>
            <w:vMerge w:val="continue"/>
            <w:tcBorders>
              <w:top w:val="single" w:color="000000" w:sz="4" w:space="0"/>
              <w:left w:val="single" w:color="000000" w:sz="4" w:space="0"/>
              <w:bottom w:val="single" w:color="000000" w:sz="4" w:space="0"/>
              <w:right w:val="single" w:color="000000" w:sz="4" w:space="0"/>
            </w:tcBorders>
            <w:vAlign w:val="center"/>
          </w:tcPr>
          <w:p w14:paraId="30E7F053">
            <w:pPr>
              <w:pStyle w:val="69"/>
              <w:ind w:firstLine="360"/>
              <w:rPr>
                <w:rFonts w:ascii="Times New Roman" w:hAnsi="Times New Roman" w:cs="Times New Roman"/>
                <w:color w:val="000000" w:themeColor="text1"/>
                <w:sz w:val="18"/>
                <w:szCs w:val="18"/>
                <w14:textFill>
                  <w14:solidFill>
                    <w14:schemeClr w14:val="tx1"/>
                  </w14:solidFill>
                </w14:textFill>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CFB6F6D">
            <w:pPr>
              <w:pStyle w:val="69"/>
              <w:ind w:firstLine="360"/>
              <w:jc w:val="left"/>
              <w:rPr>
                <w:rFonts w:ascii="Times New Roman" w:hAnsi="Times New Roman" w:cs="Times New Roman"/>
                <w:color w:val="000000" w:themeColor="text1"/>
                <w:sz w:val="18"/>
                <w:szCs w:val="18"/>
                <w14:textFill>
                  <w14:solidFill>
                    <w14:schemeClr w14:val="tx1"/>
                  </w14:solidFill>
                </w14:textFill>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64EE892E">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氨苯蝶啶用于在CrCl</w:t>
            </w:r>
            <w:r>
              <w:rPr>
                <w:rFonts w:hint="eastAsia" w:ascii="Times New Roman" w:hAnsi="Times New Roman" w:cs="Times New Roman"/>
                <w:color w:val="000000" w:themeColor="text1"/>
                <w:sz w:val="18"/>
                <w:szCs w:val="18"/>
                <w:lang w:bidi="ar"/>
                <w14:textFill>
                  <w14:solidFill>
                    <w14:schemeClr w14:val="tx1"/>
                  </w14:solidFill>
                </w14:textFill>
              </w:rPr>
              <w:t>＜</w:t>
            </w:r>
            <w:r>
              <w:rPr>
                <w:rFonts w:ascii="Times New Roman" w:hAnsi="Times New Roman" w:cs="Times New Roman"/>
                <w:color w:val="000000" w:themeColor="text1"/>
                <w:sz w:val="18"/>
                <w:szCs w:val="18"/>
                <w:lang w:bidi="ar"/>
                <w14:textFill>
                  <w14:solidFill>
                    <w14:schemeClr w14:val="tx1"/>
                  </w14:solidFill>
                </w14:textFill>
              </w:rPr>
              <w:t>30</w:t>
            </w:r>
            <w:r>
              <w:rPr>
                <w:rFonts w:hint="eastAsia" w:ascii="Times New Roman" w:hAnsi="Times New Roman" w:cs="Times New Roman"/>
                <w:color w:val="000000" w:themeColor="text1"/>
                <w:sz w:val="18"/>
                <w:szCs w:val="18"/>
                <w:lang w:bidi="ar"/>
                <w14:textFill>
                  <w14:solidFill>
                    <w14:schemeClr w14:val="tx1"/>
                  </w14:solidFill>
                </w14:textFill>
              </w:rPr>
              <w:t xml:space="preserve"> </w:t>
            </w:r>
            <w:r>
              <w:rPr>
                <w:rFonts w:ascii="Times New Roman" w:hAnsi="Times New Roman" w:cs="Times New Roman"/>
                <w:color w:val="000000" w:themeColor="text1"/>
                <w:sz w:val="18"/>
                <w:szCs w:val="18"/>
                <w:lang w:bidi="ar"/>
                <w14:textFill>
                  <w14:solidFill>
                    <w14:schemeClr w14:val="tx1"/>
                  </w14:solidFill>
                </w14:textFill>
              </w:rPr>
              <w:t>ml/min的患者</w:t>
            </w:r>
          </w:p>
        </w:tc>
        <w:tc>
          <w:tcPr>
            <w:tcW w:w="3588" w:type="dxa"/>
            <w:tcBorders>
              <w:top w:val="single" w:color="000000" w:sz="4" w:space="0"/>
              <w:left w:val="single" w:color="000000" w:sz="4" w:space="0"/>
              <w:bottom w:val="single" w:color="000000" w:sz="4" w:space="0"/>
              <w:right w:val="single" w:color="000000" w:sz="4" w:space="0"/>
            </w:tcBorders>
            <w:vAlign w:val="center"/>
          </w:tcPr>
          <w:p w14:paraId="2E1188B9">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高钾血症和低钠血症</w:t>
            </w:r>
          </w:p>
        </w:tc>
        <w:tc>
          <w:tcPr>
            <w:tcW w:w="1104" w:type="dxa"/>
            <w:tcBorders>
              <w:top w:val="single" w:color="000000" w:sz="4" w:space="0"/>
              <w:left w:val="single" w:color="000000" w:sz="4" w:space="0"/>
              <w:bottom w:val="single" w:color="000000" w:sz="4" w:space="0"/>
              <w:right w:val="single" w:color="000000" w:sz="4" w:space="0"/>
            </w:tcBorders>
            <w:vAlign w:val="center"/>
          </w:tcPr>
          <w:p w14:paraId="71B6E0F8">
            <w:pPr>
              <w:pStyle w:val="69"/>
              <w:wordWrap w:val="0"/>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Beers Criteria（美国，2023）</w:t>
            </w:r>
          </w:p>
        </w:tc>
      </w:tr>
      <w:tr w14:paraId="672FEC63">
        <w:tblPrEx>
          <w:tblCellMar>
            <w:top w:w="0" w:type="dxa"/>
            <w:left w:w="108" w:type="dxa"/>
            <w:bottom w:w="0" w:type="dxa"/>
            <w:right w:w="108" w:type="dxa"/>
          </w:tblCellMar>
        </w:tblPrEx>
        <w:trPr>
          <w:trHeight w:val="3300" w:hRule="atLeast"/>
        </w:trPr>
        <w:tc>
          <w:tcPr>
            <w:tcW w:w="396" w:type="dxa"/>
            <w:tcBorders>
              <w:top w:val="single" w:color="000000" w:sz="4" w:space="0"/>
              <w:left w:val="single" w:color="000000" w:sz="4" w:space="0"/>
              <w:bottom w:val="single" w:color="000000" w:sz="4" w:space="0"/>
              <w:right w:val="single" w:color="000000" w:sz="4" w:space="0"/>
            </w:tcBorders>
            <w:vAlign w:val="center"/>
          </w:tcPr>
          <w:p w14:paraId="5813937E">
            <w:pPr>
              <w:pStyle w:val="69"/>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5</w:t>
            </w:r>
          </w:p>
        </w:tc>
        <w:tc>
          <w:tcPr>
            <w:tcW w:w="743" w:type="dxa"/>
            <w:tcBorders>
              <w:top w:val="single" w:color="000000" w:sz="4" w:space="0"/>
              <w:left w:val="single" w:color="000000" w:sz="4" w:space="0"/>
              <w:bottom w:val="single" w:color="000000" w:sz="4" w:space="0"/>
              <w:right w:val="single" w:color="000000" w:sz="4" w:space="0"/>
            </w:tcBorders>
            <w:vAlign w:val="center"/>
          </w:tcPr>
          <w:p w14:paraId="020E3C04">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他汀类药物</w:t>
            </w:r>
          </w:p>
        </w:tc>
        <w:tc>
          <w:tcPr>
            <w:tcW w:w="2471" w:type="dxa"/>
            <w:tcBorders>
              <w:top w:val="single" w:color="000000" w:sz="4" w:space="0"/>
              <w:left w:val="single" w:color="000000" w:sz="4" w:space="0"/>
              <w:bottom w:val="single" w:color="000000" w:sz="4" w:space="0"/>
              <w:right w:val="single" w:color="000000" w:sz="4" w:space="0"/>
            </w:tcBorders>
            <w:vAlign w:val="center"/>
          </w:tcPr>
          <w:p w14:paraId="772126DD">
            <w:pPr>
              <w:pStyle w:val="69"/>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他汀类药物</w:t>
            </w:r>
          </w:p>
          <w:p w14:paraId="4DDCDC14">
            <w:pPr>
              <w:pStyle w:val="69"/>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1.用于有冠状动脉、大脑或外周血管疾病病史的患者作为年龄</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sz w:val="18"/>
                <w:szCs w:val="18"/>
                <w:lang w:bidi="ar"/>
                <w14:textFill>
                  <w14:solidFill>
                    <w14:schemeClr w14:val="tx1"/>
                  </w14:solidFill>
                </w14:textFill>
              </w:rPr>
              <w:t>85岁、衰弱、预生存期</w:t>
            </w:r>
            <w:r>
              <w:rPr>
                <w:rFonts w:hint="eastAsia" w:ascii="Times New Roman" w:hAnsi="Times New Roman" w:cs="Times New Roman"/>
                <w:color w:val="000000" w:themeColor="text1"/>
                <w:sz w:val="18"/>
                <w:szCs w:val="18"/>
                <w:lang w:bidi="ar"/>
                <w14:textFill>
                  <w14:solidFill>
                    <w14:schemeClr w14:val="tx1"/>
                  </w14:solidFill>
                </w14:textFill>
              </w:rPr>
              <w:t>＜</w:t>
            </w:r>
            <w:r>
              <w:rPr>
                <w:rFonts w:ascii="Times New Roman" w:hAnsi="Times New Roman" w:cs="Times New Roman"/>
                <w:color w:val="000000" w:themeColor="text1"/>
                <w:sz w:val="18"/>
                <w:szCs w:val="18"/>
                <w:lang w:bidi="ar"/>
                <w14:textFill>
                  <w14:solidFill>
                    <w14:schemeClr w14:val="tx1"/>
                  </w14:solidFill>
                </w14:textFill>
              </w:rPr>
              <w:t>3年患者的一级心血管疾病预防用药</w:t>
            </w:r>
          </w:p>
          <w:p w14:paraId="2CF3DC7C">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2.用于有冠状动脉、大脑或外周血管疾病病史的患者（除非患者处于生命末期或已明确处于中度或重度的衰弱状态）</w:t>
            </w:r>
          </w:p>
        </w:tc>
        <w:tc>
          <w:tcPr>
            <w:tcW w:w="3588" w:type="dxa"/>
            <w:tcBorders>
              <w:top w:val="single" w:color="000000" w:sz="4" w:space="0"/>
              <w:left w:val="single" w:color="000000" w:sz="4" w:space="0"/>
              <w:bottom w:val="single" w:color="000000" w:sz="4" w:space="0"/>
              <w:right w:val="single" w:color="000000" w:sz="4" w:space="0"/>
            </w:tcBorders>
            <w:vAlign w:val="center"/>
          </w:tcPr>
          <w:p w14:paraId="225E4622">
            <w:pPr>
              <w:pStyle w:val="69"/>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评估与预期寿命相关的风险-获益（缺乏有效性证据）</w:t>
            </w:r>
          </w:p>
        </w:tc>
        <w:tc>
          <w:tcPr>
            <w:tcW w:w="1104" w:type="dxa"/>
            <w:tcBorders>
              <w:top w:val="single" w:color="000000" w:sz="4" w:space="0"/>
              <w:left w:val="single" w:color="000000" w:sz="4" w:space="0"/>
              <w:bottom w:val="single" w:color="000000" w:sz="4" w:space="0"/>
              <w:right w:val="single" w:color="000000" w:sz="4" w:space="0"/>
            </w:tcBorders>
            <w:vAlign w:val="center"/>
          </w:tcPr>
          <w:p w14:paraId="15B54BF6">
            <w:pPr>
              <w:pStyle w:val="69"/>
              <w:wordWrap w:val="0"/>
              <w:jc w:val="left"/>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STOOP START （爱尔兰，2023）</w:t>
            </w:r>
          </w:p>
        </w:tc>
      </w:tr>
    </w:tbl>
    <w:p w14:paraId="348C91DE">
      <w:pPr>
        <w:pStyle w:val="7"/>
        <w:ind w:firstLine="360"/>
        <w:rPr>
          <w:rFonts w:ascii="Times New Roman" w:hAnsi="Times New Roman" w:cs="Times New Roman"/>
          <w:color w:val="000000" w:themeColor="text1"/>
          <w:lang w:bidi="ar"/>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w:t>
      </w:r>
      <w:r>
        <w:rPr>
          <w:rFonts w:ascii="Times New Roman" w:hAnsi="Times New Roman" w:cs="Times New Roman"/>
          <w:color w:val="000000" w:themeColor="text1"/>
          <w:lang w:bidi="ar"/>
          <w14:textFill>
            <w14:solidFill>
              <w14:schemeClr w14:val="tx1"/>
            </w14:solidFill>
          </w14:textFill>
        </w:rPr>
        <w:t>*为国内未上市药品，CrCl：肌酐清除率，eGFR：估算的肾小球滤过率。</w:t>
      </w:r>
    </w:p>
    <w:p w14:paraId="0FC4CDD0">
      <w:pPr>
        <w:pStyle w:val="89"/>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215" w:name="_Toc24915"/>
      <w:bookmarkStart w:id="216" w:name="_Toc30257"/>
      <w:bookmarkStart w:id="217" w:name="_Toc195469982"/>
      <w:bookmarkStart w:id="218" w:name="_Toc18411"/>
      <w:r>
        <w:rPr>
          <w:rFonts w:hint="eastAsia"/>
          <w:color w:val="000000" w:themeColor="text1"/>
          <w14:textFill>
            <w14:solidFill>
              <w14:schemeClr w14:val="tx1"/>
            </w14:solidFill>
          </w14:textFill>
        </w:rPr>
        <w:t>附录D</w:t>
      </w:r>
      <w:bookmarkEnd w:id="215"/>
      <w:bookmarkEnd w:id="216"/>
      <w:bookmarkEnd w:id="217"/>
      <w:bookmarkEnd w:id="218"/>
    </w:p>
    <w:p w14:paraId="0C186814">
      <w:pPr>
        <w:pStyle w:val="89"/>
        <w:rPr>
          <w:color w:val="000000" w:themeColor="text1"/>
          <w14:textFill>
            <w14:solidFill>
              <w14:schemeClr w14:val="tx1"/>
            </w14:solidFill>
          </w14:textFill>
        </w:rPr>
      </w:pPr>
      <w:bookmarkStart w:id="219" w:name="_Toc19932"/>
      <w:bookmarkStart w:id="220" w:name="_Toc13368"/>
      <w:bookmarkStart w:id="221" w:name="_Toc195469319"/>
      <w:bookmarkStart w:id="222" w:name="_Toc195469983"/>
      <w:bookmarkStart w:id="223" w:name="_Toc29247"/>
      <w:r>
        <w:rPr>
          <w:rFonts w:hint="eastAsia"/>
          <w:color w:val="000000" w:themeColor="text1"/>
          <w14:textFill>
            <w14:solidFill>
              <w14:schemeClr w14:val="tx1"/>
            </w14:solidFill>
          </w14:textFill>
        </w:rPr>
        <w:t>（资料性）</w:t>
      </w:r>
      <w:bookmarkEnd w:id="219"/>
      <w:bookmarkEnd w:id="220"/>
      <w:bookmarkEnd w:id="221"/>
      <w:bookmarkEnd w:id="222"/>
      <w:bookmarkEnd w:id="223"/>
    </w:p>
    <w:p w14:paraId="1F5D6DA2">
      <w:pPr>
        <w:pStyle w:val="89"/>
      </w:pPr>
      <w:bookmarkStart w:id="224" w:name="_Toc195469984"/>
      <w:bookmarkStart w:id="225" w:name="_Toc2165"/>
      <w:bookmarkStart w:id="226" w:name="_Toc30602"/>
      <w:bookmarkStart w:id="227" w:name="_Toc23834"/>
      <w:r>
        <w:rPr>
          <w:rFonts w:hint="eastAsia"/>
        </w:rPr>
        <w:t>老年冠心病患者药物-药物相互作用表</w:t>
      </w:r>
      <w:bookmarkEnd w:id="224"/>
      <w:bookmarkEnd w:id="225"/>
      <w:bookmarkEnd w:id="226"/>
      <w:bookmarkEnd w:id="227"/>
    </w:p>
    <w:tbl>
      <w:tblPr>
        <w:tblStyle w:val="26"/>
        <w:tblW w:w="10304" w:type="dxa"/>
        <w:tblInd w:w="-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541"/>
        <w:gridCol w:w="1211"/>
        <w:gridCol w:w="1639"/>
        <w:gridCol w:w="3421"/>
        <w:gridCol w:w="1933"/>
      </w:tblGrid>
      <w:tr w14:paraId="42C4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shd w:val="clear" w:color="auto" w:fill="auto"/>
          </w:tcPr>
          <w:p w14:paraId="5E439353">
            <w:pPr>
              <w:pStyle w:val="69"/>
              <w:rPr>
                <w:rFonts w:ascii="Times New Roman" w:hAnsi="Times New Roman" w:cs="Times New Roman"/>
                <w:color w:val="000000" w:themeColor="text1"/>
                <w:sz w:val="18"/>
                <w:szCs w:val="18"/>
                <w:lang w:bidi="ar"/>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序号</w:t>
            </w:r>
          </w:p>
        </w:tc>
        <w:tc>
          <w:tcPr>
            <w:tcW w:w="1541" w:type="dxa"/>
            <w:shd w:val="clear" w:color="auto" w:fill="auto"/>
            <w:vAlign w:val="center"/>
          </w:tcPr>
          <w:p w14:paraId="6177CF30">
            <w:pPr>
              <w:pStyle w:val="69"/>
              <w:rPr>
                <w:rFonts w:ascii="Times New Roman" w:hAnsi="Times New Roman" w:cs="Times New Roman"/>
                <w:color w:val="000000" w:themeColor="text1"/>
                <w:sz w:val="18"/>
                <w:szCs w:val="18"/>
                <w:lang w:bidi="ar"/>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药物相互作用</w:t>
            </w:r>
          </w:p>
        </w:tc>
        <w:tc>
          <w:tcPr>
            <w:tcW w:w="1211" w:type="dxa"/>
            <w:shd w:val="clear" w:color="auto" w:fill="auto"/>
            <w:vAlign w:val="center"/>
          </w:tcPr>
          <w:p w14:paraId="4C543DD4">
            <w:pPr>
              <w:pStyle w:val="69"/>
              <w:rPr>
                <w:rFonts w:ascii="Times New Roman" w:hAnsi="Times New Roman" w:cs="Times New Roman"/>
                <w:color w:val="000000" w:themeColor="text1"/>
                <w:sz w:val="18"/>
                <w:szCs w:val="18"/>
                <w:lang w:bidi="ar"/>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产生影响</w:t>
            </w:r>
          </w:p>
        </w:tc>
        <w:tc>
          <w:tcPr>
            <w:tcW w:w="1639" w:type="dxa"/>
            <w:shd w:val="clear" w:color="auto" w:fill="auto"/>
            <w:vAlign w:val="center"/>
          </w:tcPr>
          <w:p w14:paraId="56D4BC3D">
            <w:pPr>
              <w:pStyle w:val="69"/>
              <w:rPr>
                <w:rFonts w:ascii="Times New Roman" w:hAnsi="Times New Roman" w:cs="Times New Roman"/>
                <w:color w:val="000000" w:themeColor="text1"/>
                <w:sz w:val="18"/>
                <w:szCs w:val="18"/>
                <w:lang w:bidi="ar"/>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作用机制</w:t>
            </w:r>
          </w:p>
        </w:tc>
        <w:tc>
          <w:tcPr>
            <w:tcW w:w="3421" w:type="dxa"/>
            <w:shd w:val="clear" w:color="auto" w:fill="auto"/>
            <w:vAlign w:val="center"/>
          </w:tcPr>
          <w:p w14:paraId="3A466247">
            <w:pPr>
              <w:pStyle w:val="69"/>
              <w:rPr>
                <w:rFonts w:ascii="Times New Roman" w:hAnsi="Times New Roman" w:cs="Times New Roman"/>
                <w:color w:val="000000" w:themeColor="text1"/>
                <w:sz w:val="18"/>
                <w:szCs w:val="18"/>
                <w:lang w:bidi="ar"/>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建议措施</w:t>
            </w:r>
          </w:p>
        </w:tc>
        <w:tc>
          <w:tcPr>
            <w:tcW w:w="1933" w:type="dxa"/>
            <w:shd w:val="clear" w:color="auto" w:fill="auto"/>
            <w:vAlign w:val="center"/>
          </w:tcPr>
          <w:p w14:paraId="393509C5">
            <w:pPr>
              <w:pStyle w:val="69"/>
              <w:rPr>
                <w:rFonts w:ascii="Times New Roman" w:hAnsi="Times New Roman" w:cs="Times New Roman"/>
                <w:color w:val="000000" w:themeColor="text1"/>
                <w:sz w:val="18"/>
                <w:szCs w:val="18"/>
                <w:lang w:bidi="ar"/>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依据</w:t>
            </w:r>
          </w:p>
        </w:tc>
      </w:tr>
      <w:tr w14:paraId="08B2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shd w:val="clear" w:color="auto" w:fill="auto"/>
            <w:vAlign w:val="center"/>
          </w:tcPr>
          <w:p w14:paraId="0DF22F4D">
            <w:pPr>
              <w:widowControl/>
              <w:wordWrap w:val="0"/>
              <w:topLinePunct/>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1</w:t>
            </w:r>
          </w:p>
        </w:tc>
        <w:tc>
          <w:tcPr>
            <w:tcW w:w="1541" w:type="dxa"/>
            <w:shd w:val="clear" w:color="auto" w:fill="auto"/>
            <w:vAlign w:val="center"/>
          </w:tcPr>
          <w:p w14:paraId="1F0D4C41">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RAS抑制药（ACEIs、ARBs、ARNI、阿利吉仑）和保钾利尿药同时使用两种以上</w:t>
            </w:r>
          </w:p>
        </w:tc>
        <w:tc>
          <w:tcPr>
            <w:tcW w:w="1211" w:type="dxa"/>
            <w:shd w:val="clear" w:color="auto" w:fill="auto"/>
            <w:vAlign w:val="center"/>
          </w:tcPr>
          <w:p w14:paraId="5C3324B1">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高钾血症风险增加</w:t>
            </w:r>
          </w:p>
        </w:tc>
        <w:tc>
          <w:tcPr>
            <w:tcW w:w="1639" w:type="dxa"/>
            <w:shd w:val="clear" w:color="000000" w:fill="FFFFFF"/>
            <w:vAlign w:val="center"/>
          </w:tcPr>
          <w:p w14:paraId="3113744A">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减少钾离子排泄作用叠加</w:t>
            </w:r>
          </w:p>
        </w:tc>
        <w:tc>
          <w:tcPr>
            <w:tcW w:w="3421" w:type="dxa"/>
            <w:shd w:val="clear" w:color="auto" w:fill="auto"/>
            <w:vAlign w:val="center"/>
          </w:tcPr>
          <w:p w14:paraId="52611A7E">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1.避免常规同时使用2种及以上RAS抑制剂，或RAS抑制剂和保钾利尿药。</w:t>
            </w:r>
          </w:p>
          <w:p w14:paraId="724224EB">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2.避免同时在CKD-3a级及以上的患者使用。</w:t>
            </w:r>
          </w:p>
        </w:tc>
        <w:tc>
          <w:tcPr>
            <w:tcW w:w="1933" w:type="dxa"/>
            <w:shd w:val="clear" w:color="auto" w:fill="auto"/>
            <w:vAlign w:val="center"/>
          </w:tcPr>
          <w:p w14:paraId="6E8F40B5">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sz w:val="18"/>
                <w:szCs w:val="18"/>
                <w:lang w:bidi="ar"/>
                <w14:textFill>
                  <w14:solidFill>
                    <w14:schemeClr w14:val="tx1"/>
                  </w14:solidFill>
                </w14:textFill>
              </w:rPr>
              <w:t>Beers Criteria</w:t>
            </w: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（美国，2023）和AMDA（The Society for Post-Acute and Long-Term Care Medicine.）药物相互作用表（美国，https://paltc.org/top-10-particularly-dangerous-drug-interactions-paltc）</w:t>
            </w:r>
          </w:p>
        </w:tc>
      </w:tr>
      <w:tr w14:paraId="13D1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shd w:val="clear" w:color="auto" w:fill="auto"/>
            <w:vAlign w:val="center"/>
          </w:tcPr>
          <w:p w14:paraId="3AF32FF6">
            <w:pPr>
              <w:widowControl/>
              <w:wordWrap w:val="0"/>
              <w:topLinePunct/>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2</w:t>
            </w:r>
          </w:p>
        </w:tc>
        <w:tc>
          <w:tcPr>
            <w:tcW w:w="1541" w:type="dxa"/>
            <w:shd w:val="clear" w:color="auto" w:fill="auto"/>
            <w:vAlign w:val="center"/>
          </w:tcPr>
          <w:p w14:paraId="1E83D3B9">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ACEIs与补钾剂</w:t>
            </w:r>
          </w:p>
        </w:tc>
        <w:tc>
          <w:tcPr>
            <w:tcW w:w="1211" w:type="dxa"/>
            <w:shd w:val="clear" w:color="auto" w:fill="auto"/>
            <w:vAlign w:val="center"/>
          </w:tcPr>
          <w:p w14:paraId="425E3480">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升高血钾</w:t>
            </w:r>
          </w:p>
        </w:tc>
        <w:tc>
          <w:tcPr>
            <w:tcW w:w="1639" w:type="dxa"/>
            <w:shd w:val="clear" w:color="000000" w:fill="FFFFFF"/>
            <w:vAlign w:val="center"/>
          </w:tcPr>
          <w:p w14:paraId="3310F99A">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ACEIs导致醛固酮产生减少，并可能减少钾的排泄</w:t>
            </w:r>
          </w:p>
        </w:tc>
        <w:tc>
          <w:tcPr>
            <w:tcW w:w="3421" w:type="dxa"/>
            <w:shd w:val="clear" w:color="auto" w:fill="auto"/>
            <w:vAlign w:val="center"/>
          </w:tcPr>
          <w:p w14:paraId="2D446063">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1.患者开始服用ACEIs前检测钾离子水平。</w:t>
            </w:r>
          </w:p>
          <w:p w14:paraId="33328ED5">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2.监测注意事项：当钾离子水平大于5.0 mmol/L时，会有发生严重高钾血症和心电图改变的风险，应密切监测。同时应监测肾功能变化。如果钾离子浓度增加，则应调整钾的用量。</w:t>
            </w:r>
          </w:p>
        </w:tc>
        <w:tc>
          <w:tcPr>
            <w:tcW w:w="1933" w:type="dxa"/>
            <w:shd w:val="clear" w:color="auto" w:fill="auto"/>
            <w:vAlign w:val="center"/>
          </w:tcPr>
          <w:p w14:paraId="359E4531">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AMDA（The Society for Post-Acute and Long-Term Care Medicine.）药物相互作用表（美国，https://paltc.org/top-10-particularly-dangerous-drug-interactions-paltc）</w:t>
            </w:r>
          </w:p>
        </w:tc>
      </w:tr>
      <w:tr w14:paraId="4761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shd w:val="clear" w:color="000000" w:fill="FFFFFF"/>
            <w:vAlign w:val="center"/>
          </w:tcPr>
          <w:p w14:paraId="5A6CE7FC">
            <w:pPr>
              <w:widowControl/>
              <w:wordWrap w:val="0"/>
              <w:topLinePunct/>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3</w:t>
            </w:r>
          </w:p>
        </w:tc>
        <w:tc>
          <w:tcPr>
            <w:tcW w:w="1541" w:type="dxa"/>
            <w:shd w:val="clear" w:color="000000" w:fill="FFFFFF"/>
            <w:vAlign w:val="center"/>
          </w:tcPr>
          <w:p w14:paraId="1F0CA815">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锂和ACEIs、ARBs、ARNI</w:t>
            </w:r>
          </w:p>
        </w:tc>
        <w:tc>
          <w:tcPr>
            <w:tcW w:w="1211" w:type="dxa"/>
            <w:shd w:val="clear" w:color="000000" w:fill="FFFFFF"/>
            <w:vAlign w:val="center"/>
          </w:tcPr>
          <w:p w14:paraId="4398F8EF">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锂中毒风险增加</w:t>
            </w:r>
          </w:p>
        </w:tc>
        <w:tc>
          <w:tcPr>
            <w:tcW w:w="1639" w:type="dxa"/>
            <w:shd w:val="clear" w:color="000000" w:fill="FFFFFF"/>
            <w:vAlign w:val="center"/>
          </w:tcPr>
          <w:p w14:paraId="5E92B15A">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肾脏清除锂减少</w:t>
            </w:r>
          </w:p>
        </w:tc>
        <w:tc>
          <w:tcPr>
            <w:tcW w:w="3421" w:type="dxa"/>
            <w:shd w:val="clear" w:color="000000" w:fill="FFFFFF"/>
            <w:vAlign w:val="center"/>
          </w:tcPr>
          <w:p w14:paraId="3CAAC34E">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监测锂浓度</w:t>
            </w:r>
          </w:p>
        </w:tc>
        <w:tc>
          <w:tcPr>
            <w:tcW w:w="1933" w:type="dxa"/>
            <w:shd w:val="clear" w:color="000000" w:fill="FFFFFF"/>
            <w:vAlign w:val="center"/>
          </w:tcPr>
          <w:p w14:paraId="7E13599B">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sz w:val="18"/>
                <w:szCs w:val="18"/>
                <w:lang w:bidi="ar"/>
                <w14:textFill>
                  <w14:solidFill>
                    <w14:schemeClr w14:val="tx1"/>
                  </w14:solidFill>
                </w14:textFill>
              </w:rPr>
              <w:t>Beers Criteria</w:t>
            </w: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（美国，2023）</w:t>
            </w:r>
          </w:p>
        </w:tc>
      </w:tr>
      <w:tr w14:paraId="018D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shd w:val="clear" w:color="auto" w:fill="auto"/>
            <w:vAlign w:val="center"/>
          </w:tcPr>
          <w:p w14:paraId="01954B54">
            <w:pPr>
              <w:widowControl/>
              <w:wordWrap w:val="0"/>
              <w:topLinePunct/>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4</w:t>
            </w:r>
          </w:p>
        </w:tc>
        <w:tc>
          <w:tcPr>
            <w:tcW w:w="1541" w:type="dxa"/>
            <w:shd w:val="clear" w:color="000000" w:fill="FFFFFF"/>
            <w:vAlign w:val="center"/>
          </w:tcPr>
          <w:p w14:paraId="577784DF">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他汀类药物+吉非罗齐</w:t>
            </w:r>
          </w:p>
        </w:tc>
        <w:tc>
          <w:tcPr>
            <w:tcW w:w="1211" w:type="dxa"/>
            <w:shd w:val="clear" w:color="auto" w:fill="auto"/>
            <w:vAlign w:val="center"/>
          </w:tcPr>
          <w:p w14:paraId="1F313110">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严重肌病和横纹肌溶解症可能导致急性肾衰竭和死亡</w:t>
            </w:r>
          </w:p>
        </w:tc>
        <w:tc>
          <w:tcPr>
            <w:tcW w:w="1639" w:type="dxa"/>
            <w:shd w:val="clear" w:color="auto" w:fill="auto"/>
            <w:vAlign w:val="center"/>
          </w:tcPr>
          <w:p w14:paraId="3D33EDC8">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吉非罗齐介导的对葡萄糖醛酸化过程和OATP1B1转运蛋白的抑制增加了他汀类药物的暴露</w:t>
            </w:r>
          </w:p>
        </w:tc>
        <w:tc>
          <w:tcPr>
            <w:tcW w:w="3421" w:type="dxa"/>
            <w:shd w:val="clear" w:color="auto" w:fill="auto"/>
            <w:vAlign w:val="center"/>
          </w:tcPr>
          <w:p w14:paraId="0C35E9A0">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1.禁用于被认为是肌病危险因素的病症（如肾功能损伤、甲状腺功能减退症等）。</w:t>
            </w:r>
          </w:p>
          <w:p w14:paraId="0B505C0C">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2.将他汀类药物的剂量降至最低有效剂量，并考虑使用贝特类药物。如果继续服用吉非罗齐剂量不应超过每天10 mg。</w:t>
            </w:r>
          </w:p>
          <w:p w14:paraId="24E7DF53">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3.如果在没有剧烈运动的情况下肌酸激酶显著升高或诊断为为肌病，则应停止他汀类药物治疗。</w:t>
            </w:r>
          </w:p>
          <w:p w14:paraId="6E6F3802">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4.建议患者迅速报告任何原因不明的肌肉疼痛、压痛或无力，尤其是伴有发热、尿色加深等不适症状。</w:t>
            </w:r>
          </w:p>
        </w:tc>
        <w:tc>
          <w:tcPr>
            <w:tcW w:w="1933" w:type="dxa"/>
            <w:shd w:val="clear" w:color="auto" w:fill="auto"/>
            <w:vAlign w:val="center"/>
          </w:tcPr>
          <w:p w14:paraId="3BC4A228">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老年人具有临床意义的药物相互作用国际共识清单（欧洲，2021）</w:t>
            </w:r>
          </w:p>
        </w:tc>
      </w:tr>
      <w:tr w14:paraId="0BE9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shd w:val="clear" w:color="auto" w:fill="auto"/>
            <w:vAlign w:val="center"/>
          </w:tcPr>
          <w:p w14:paraId="34683387">
            <w:pPr>
              <w:widowControl/>
              <w:wordWrap w:val="0"/>
              <w:topLinePunct/>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5</w:t>
            </w:r>
          </w:p>
        </w:tc>
        <w:tc>
          <w:tcPr>
            <w:tcW w:w="1541" w:type="dxa"/>
            <w:shd w:val="clear" w:color="000000" w:fill="FFFFFF"/>
            <w:vAlign w:val="center"/>
          </w:tcPr>
          <w:p w14:paraId="1C8DA088">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阿托伐他汀或辛伐他汀或洛伐他汀+维拉帕米或地尔硫䓬</w:t>
            </w:r>
          </w:p>
        </w:tc>
        <w:tc>
          <w:tcPr>
            <w:tcW w:w="1211" w:type="dxa"/>
            <w:shd w:val="clear" w:color="auto" w:fill="auto"/>
            <w:vAlign w:val="center"/>
          </w:tcPr>
          <w:p w14:paraId="00544243">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严重的肌病和横纹肌溶解，可能导致急性肾功能衰竭和死亡</w:t>
            </w:r>
          </w:p>
        </w:tc>
        <w:tc>
          <w:tcPr>
            <w:tcW w:w="1639" w:type="dxa"/>
            <w:shd w:val="clear" w:color="auto" w:fill="auto"/>
            <w:vAlign w:val="center"/>
          </w:tcPr>
          <w:p w14:paraId="3B7EACB0">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维拉帕米和地尔硫䓬抑制CYP3A4介导的代谢，增加他汀类药物暴露</w:t>
            </w:r>
          </w:p>
        </w:tc>
        <w:tc>
          <w:tcPr>
            <w:tcW w:w="3421" w:type="dxa"/>
            <w:shd w:val="clear" w:color="auto" w:fill="auto"/>
            <w:vAlign w:val="center"/>
          </w:tcPr>
          <w:p w14:paraId="05B3C1CF">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1.考虑不被CYP3A4代谢的更安全的替代药（例如氟伐他汀、普伐他汀或瑞舒伐他汀）。</w:t>
            </w:r>
          </w:p>
          <w:p w14:paraId="5C1ECE8E">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2.将涉及的他汀类药物的剂量减少到最低有效剂量。</w:t>
            </w:r>
          </w:p>
          <w:p w14:paraId="24E70BCF">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3.如果肌酸激酶在没有剧烈运动的情况下显著升高，或者怀疑或诊断为肌病，则应停止服用他汀类药物。</w:t>
            </w:r>
          </w:p>
          <w:p w14:paraId="4EBCBF18">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4.建议患者迅速报告任何原因不明的肌肉疼痛、压痛或无力，尤其是伴有发热、尿色加深等不适症状。</w:t>
            </w:r>
          </w:p>
        </w:tc>
        <w:tc>
          <w:tcPr>
            <w:tcW w:w="1933" w:type="dxa"/>
            <w:shd w:val="clear" w:color="auto" w:fill="auto"/>
            <w:vAlign w:val="center"/>
          </w:tcPr>
          <w:p w14:paraId="39FBCCB8">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老年人具有临床意义的药物相互作用国际共识清单（欧洲，2021）</w:t>
            </w:r>
          </w:p>
        </w:tc>
      </w:tr>
      <w:tr w14:paraId="7DAE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shd w:val="clear" w:color="000000" w:fill="FFFFFF"/>
            <w:vAlign w:val="center"/>
          </w:tcPr>
          <w:p w14:paraId="1575FE0E">
            <w:pPr>
              <w:widowControl/>
              <w:wordWrap w:val="0"/>
              <w:topLinePunct/>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6</w:t>
            </w:r>
          </w:p>
        </w:tc>
        <w:tc>
          <w:tcPr>
            <w:tcW w:w="1541" w:type="dxa"/>
            <w:shd w:val="clear" w:color="000000" w:fill="FFFFFF"/>
            <w:vAlign w:val="center"/>
          </w:tcPr>
          <w:p w14:paraId="6AA02777">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辛伐他汀+氨氯地平</w:t>
            </w:r>
          </w:p>
        </w:tc>
        <w:tc>
          <w:tcPr>
            <w:tcW w:w="1211" w:type="dxa"/>
            <w:shd w:val="clear" w:color="auto" w:fill="auto"/>
            <w:vAlign w:val="center"/>
          </w:tcPr>
          <w:p w14:paraId="1D16EBE8">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严重肌病和横纹肌溶解症、可能导致急性肾衰竭和死亡</w:t>
            </w:r>
          </w:p>
        </w:tc>
        <w:tc>
          <w:tcPr>
            <w:tcW w:w="1639" w:type="dxa"/>
            <w:shd w:val="clear" w:color="auto" w:fill="auto"/>
            <w:vAlign w:val="center"/>
          </w:tcPr>
          <w:p w14:paraId="1364D76F">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氨氯地平抑制CYP3A4介导的代谢，可能会增加辛伐他汀的暴露</w:t>
            </w:r>
          </w:p>
        </w:tc>
        <w:tc>
          <w:tcPr>
            <w:tcW w:w="3421" w:type="dxa"/>
            <w:shd w:val="clear" w:color="auto" w:fill="auto"/>
            <w:vAlign w:val="center"/>
          </w:tcPr>
          <w:p w14:paraId="1EA980FD">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1.考虑不被CYP3A4代谢的更安全的替代药（例如氟伐他汀、普伐他汀或瑞舒伐他汀）。</w:t>
            </w:r>
          </w:p>
          <w:p w14:paraId="67C61E35">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2.将他汀类药物的剂量减少到最低有效剂量，每天不超过20 mg辛伐他汀。</w:t>
            </w:r>
          </w:p>
          <w:p w14:paraId="3681CF37">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3.如果肌酸激酶在没有剧烈运动的情况下显著升高，或者诊断为肌病，则应停止服用他汀类药物。</w:t>
            </w:r>
          </w:p>
          <w:p w14:paraId="2CF74367">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4.建议患者迅速报告任何原因不明的肌肉疼痛、压痛或无力，尤其是伴有发热、尿色加深等不适症状。</w:t>
            </w:r>
          </w:p>
        </w:tc>
        <w:tc>
          <w:tcPr>
            <w:tcW w:w="1933" w:type="dxa"/>
            <w:shd w:val="clear" w:color="auto" w:fill="auto"/>
            <w:vAlign w:val="center"/>
          </w:tcPr>
          <w:p w14:paraId="24E198C4">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老年人具有临床意义的药物相互作用国际共识清单（欧洲，2021）</w:t>
            </w:r>
          </w:p>
        </w:tc>
      </w:tr>
      <w:tr w14:paraId="04AE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shd w:val="clear" w:color="auto" w:fill="auto"/>
            <w:vAlign w:val="center"/>
          </w:tcPr>
          <w:p w14:paraId="2608BDA1">
            <w:pPr>
              <w:widowControl/>
              <w:wordWrap w:val="0"/>
              <w:topLinePunct/>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7</w:t>
            </w:r>
          </w:p>
        </w:tc>
        <w:tc>
          <w:tcPr>
            <w:tcW w:w="1541" w:type="dxa"/>
            <w:shd w:val="clear" w:color="auto" w:fill="auto"/>
            <w:vAlign w:val="center"/>
          </w:tcPr>
          <w:p w14:paraId="385F98B0">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阿托伐他汀或辛伐他汀或洛伐他汀+胺碘酮</w:t>
            </w:r>
          </w:p>
        </w:tc>
        <w:tc>
          <w:tcPr>
            <w:tcW w:w="1211" w:type="dxa"/>
            <w:shd w:val="clear" w:color="auto" w:fill="auto"/>
            <w:vAlign w:val="center"/>
          </w:tcPr>
          <w:p w14:paraId="4671718D">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严重的肌病和横纹肌溶解，可能导致急性肾功能衰竭</w:t>
            </w:r>
          </w:p>
        </w:tc>
        <w:tc>
          <w:tcPr>
            <w:tcW w:w="1639" w:type="dxa"/>
            <w:shd w:val="clear" w:color="auto" w:fill="auto"/>
            <w:vAlign w:val="center"/>
          </w:tcPr>
          <w:p w14:paraId="091E115B">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胺碘酮抑制CYP3A4介导的代谢，会增加他汀类药物暴露</w:t>
            </w:r>
          </w:p>
        </w:tc>
        <w:tc>
          <w:tcPr>
            <w:tcW w:w="3421" w:type="dxa"/>
            <w:shd w:val="clear" w:color="auto" w:fill="auto"/>
            <w:vAlign w:val="center"/>
          </w:tcPr>
          <w:p w14:paraId="618C8F72">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1.考虑不被CYP3A4代谢的更安全的替代药（例如氟伐他汀、普伐他汀、瑞舒伐他汀）。</w:t>
            </w:r>
          </w:p>
          <w:p w14:paraId="6867FBE0">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2.将他汀类药物的剂量降至最低有效剂量（每天不超过20 mg辛伐他汀或40 mg洛伐他汀）。</w:t>
            </w:r>
          </w:p>
          <w:p w14:paraId="7836BD0D">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3.如果肌酸激酶在没有剧烈运动的情况下显著升高，或者怀疑或诊断为肌病，则应停止服用他汀类药物。</w:t>
            </w:r>
          </w:p>
          <w:p w14:paraId="66FFA584">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4.建议患者迅速报告任何原因不明的肌肉疼痛、压痛或无力，尤其是伴有发热、尿色加深等不适症状。</w:t>
            </w:r>
          </w:p>
        </w:tc>
        <w:tc>
          <w:tcPr>
            <w:tcW w:w="1933" w:type="dxa"/>
            <w:shd w:val="clear" w:color="auto" w:fill="auto"/>
            <w:vAlign w:val="center"/>
          </w:tcPr>
          <w:p w14:paraId="787D944A">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老年人具有临床意义的药物相互作用国际共识清单（欧洲，2021）</w:t>
            </w:r>
          </w:p>
        </w:tc>
      </w:tr>
      <w:tr w14:paraId="5E86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shd w:val="clear" w:color="auto" w:fill="auto"/>
            <w:vAlign w:val="center"/>
          </w:tcPr>
          <w:p w14:paraId="3FC1F339">
            <w:pPr>
              <w:widowControl/>
              <w:wordWrap w:val="0"/>
              <w:topLinePunct/>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8</w:t>
            </w:r>
          </w:p>
        </w:tc>
        <w:tc>
          <w:tcPr>
            <w:tcW w:w="1541" w:type="dxa"/>
            <w:shd w:val="clear" w:color="auto" w:fill="auto"/>
            <w:vAlign w:val="center"/>
          </w:tcPr>
          <w:p w14:paraId="0E9CB55D">
            <w:pPr>
              <w:widowControl/>
              <w:wordWrap w:val="0"/>
              <w:topLinePunct/>
              <w:spacing w:line="240" w:lineRule="auto"/>
              <w:ind w:firstLine="0" w:firstLineChars="0"/>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阿托伐他汀或辛伐他汀或洛伐他汀+部分大环内酯类药物（即红霉素或克拉霉素或罗红霉素或泰利霉素*）</w:t>
            </w:r>
          </w:p>
        </w:tc>
        <w:tc>
          <w:tcPr>
            <w:tcW w:w="1211" w:type="dxa"/>
            <w:shd w:val="clear" w:color="auto" w:fill="auto"/>
            <w:vAlign w:val="center"/>
          </w:tcPr>
          <w:p w14:paraId="2CE67A97">
            <w:pPr>
              <w:widowControl/>
              <w:wordWrap w:val="0"/>
              <w:topLinePunct/>
              <w:spacing w:line="240" w:lineRule="auto"/>
              <w:ind w:firstLine="0" w:firstLineChars="0"/>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严重的肌病和横纹肌溶解，可能导致急性肾功能衰竭</w:t>
            </w:r>
          </w:p>
        </w:tc>
        <w:tc>
          <w:tcPr>
            <w:tcW w:w="1639" w:type="dxa"/>
            <w:shd w:val="clear" w:color="auto" w:fill="auto"/>
            <w:vAlign w:val="center"/>
          </w:tcPr>
          <w:p w14:paraId="20F9C97A">
            <w:pPr>
              <w:widowControl/>
              <w:wordWrap w:val="0"/>
              <w:topLinePunct/>
              <w:spacing w:line="240" w:lineRule="auto"/>
              <w:ind w:firstLine="0" w:firstLineChars="0"/>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部分大环内酯类药物抑制CYP3A4介导的代谢，导致他汀类药物暴露增加</w:t>
            </w:r>
          </w:p>
        </w:tc>
        <w:tc>
          <w:tcPr>
            <w:tcW w:w="3421" w:type="dxa"/>
            <w:shd w:val="clear" w:color="auto" w:fill="auto"/>
            <w:vAlign w:val="center"/>
          </w:tcPr>
          <w:p w14:paraId="29B2FFE6">
            <w:pPr>
              <w:widowControl/>
              <w:wordWrap w:val="0"/>
              <w:topLinePunct/>
              <w:spacing w:line="240" w:lineRule="auto"/>
              <w:ind w:firstLine="0" w:firstLineChars="0"/>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1.除非获益大于风险，否则，若需要大环内酯类抗生素，就用无相互作用的抗生素替代或暂时停用他汀类药物。</w:t>
            </w:r>
          </w:p>
          <w:p w14:paraId="530FE555">
            <w:pPr>
              <w:widowControl/>
              <w:wordWrap w:val="0"/>
              <w:topLinePunct/>
              <w:spacing w:line="240" w:lineRule="auto"/>
              <w:ind w:firstLine="0" w:firstLineChars="0"/>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2.将他汀类药物的剂量降至最低有效剂量。</w:t>
            </w:r>
          </w:p>
          <w:p w14:paraId="23DDD25C">
            <w:pPr>
              <w:widowControl/>
              <w:wordWrap w:val="0"/>
              <w:topLinePunct/>
              <w:spacing w:line="240" w:lineRule="auto"/>
              <w:ind w:firstLine="0" w:firstLineChars="0"/>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3.如果肌酸激酶在没有剧烈运动的情况下显著升高，或者怀疑或诊断为肌病，则应停止服用他汀类药物。</w:t>
            </w:r>
          </w:p>
          <w:p w14:paraId="0FDBDD28">
            <w:pPr>
              <w:widowControl/>
              <w:wordWrap w:val="0"/>
              <w:topLinePunct/>
              <w:spacing w:line="240" w:lineRule="auto"/>
              <w:ind w:firstLine="0" w:firstLineChars="0"/>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4.建议患者迅速报告任何原因不明的肌肉疼痛、压痛或无力，尤其是伴有发热、尿色加深等不适症状。</w:t>
            </w:r>
          </w:p>
        </w:tc>
        <w:tc>
          <w:tcPr>
            <w:tcW w:w="1933" w:type="dxa"/>
            <w:shd w:val="clear" w:color="auto" w:fill="auto"/>
            <w:vAlign w:val="center"/>
          </w:tcPr>
          <w:p w14:paraId="00BFF0D2">
            <w:pPr>
              <w:widowControl/>
              <w:wordWrap w:val="0"/>
              <w:topLinePunct/>
              <w:spacing w:line="240" w:lineRule="auto"/>
              <w:ind w:firstLine="0" w:firstLineChars="0"/>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老年人具有临床意义的药物相互作用国际共识清单（欧洲，2021）</w:t>
            </w:r>
          </w:p>
        </w:tc>
      </w:tr>
      <w:tr w14:paraId="685F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shd w:val="clear" w:color="000000" w:fill="FFFFFF"/>
            <w:vAlign w:val="center"/>
          </w:tcPr>
          <w:p w14:paraId="63F6DA50">
            <w:pPr>
              <w:widowControl/>
              <w:wordWrap w:val="0"/>
              <w:topLinePunct/>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9</w:t>
            </w:r>
          </w:p>
        </w:tc>
        <w:tc>
          <w:tcPr>
            <w:tcW w:w="1541" w:type="dxa"/>
            <w:shd w:val="clear" w:color="000000" w:fill="FFFFFF"/>
            <w:vAlign w:val="center"/>
          </w:tcPr>
          <w:p w14:paraId="10222288">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抗血小板药物（包括阿司匹林）+口服非甾体抗炎药</w:t>
            </w:r>
          </w:p>
        </w:tc>
        <w:tc>
          <w:tcPr>
            <w:tcW w:w="1211" w:type="dxa"/>
            <w:shd w:val="clear" w:color="auto" w:fill="auto"/>
            <w:vAlign w:val="center"/>
          </w:tcPr>
          <w:p w14:paraId="08936B5D">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出血和胃肠道损害（包括胃及十二指肠溃疡、胃肠穿孔等），降低阿司匹林的心脏保护作用</w:t>
            </w:r>
          </w:p>
        </w:tc>
        <w:tc>
          <w:tcPr>
            <w:tcW w:w="1639" w:type="dxa"/>
            <w:shd w:val="clear" w:color="auto" w:fill="auto"/>
            <w:vAlign w:val="center"/>
          </w:tcPr>
          <w:p w14:paraId="1A8A8BDB">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由于非甾体抗炎药对出血和胃肠道刺激的叠加药效学作用，会使口服抗凝剂的出血风险增加；</w:t>
            </w:r>
          </w:p>
          <w:p w14:paraId="50240575">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阿司匹林与其他非甾体抗炎药之间存在COX-1结合位点的竞争。</w:t>
            </w:r>
          </w:p>
        </w:tc>
        <w:tc>
          <w:tcPr>
            <w:tcW w:w="3421" w:type="dxa"/>
            <w:shd w:val="clear" w:color="auto" w:fill="auto"/>
            <w:vAlign w:val="center"/>
          </w:tcPr>
          <w:p w14:paraId="10F23C7D">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1.考虑增加胃粘膜保护药物（如PPI）。</w:t>
            </w:r>
          </w:p>
          <w:p w14:paraId="380738DD">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2.建议患者及时报告任何溃疡和出血的迹象，如腹痛、腹胀、头晕、恶心、呕吐、呕血、食欲减退和黑便。</w:t>
            </w:r>
          </w:p>
          <w:p w14:paraId="081D4BA2">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3.为了保持小剂量阿司匹林的心脏保护作用，在服用非甾体抗炎药之前至少2 h或之后至少8 h服用阿司匹林。</w:t>
            </w:r>
          </w:p>
        </w:tc>
        <w:tc>
          <w:tcPr>
            <w:tcW w:w="1933" w:type="dxa"/>
            <w:shd w:val="clear" w:color="auto" w:fill="auto"/>
            <w:vAlign w:val="center"/>
          </w:tcPr>
          <w:p w14:paraId="66EB350E">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老年人具有临床意义的药物相互作用国际共识清单（欧洲，2021）</w:t>
            </w:r>
          </w:p>
        </w:tc>
      </w:tr>
      <w:tr w14:paraId="46AE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shd w:val="clear" w:color="auto" w:fill="auto"/>
            <w:vAlign w:val="center"/>
          </w:tcPr>
          <w:p w14:paraId="29D60010">
            <w:pPr>
              <w:widowControl/>
              <w:wordWrap w:val="0"/>
              <w:topLinePunct/>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10</w:t>
            </w:r>
          </w:p>
        </w:tc>
        <w:tc>
          <w:tcPr>
            <w:tcW w:w="1541" w:type="dxa"/>
            <w:shd w:val="clear" w:color="auto" w:fill="auto"/>
            <w:vAlign w:val="center"/>
          </w:tcPr>
          <w:p w14:paraId="11CD1EB0">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钙通道阻滞剂+CYP3A4抑制剂（酮康唑、伊曲康唑、伏立康唑、泊沙康唑、氟康唑、地尔硫䓬、维拉帕米、奎尼丁、决奈达隆、胺碘酮、环孢素、利托那韦、克拉霉素、红霉素）</w:t>
            </w:r>
          </w:p>
        </w:tc>
        <w:tc>
          <w:tcPr>
            <w:tcW w:w="1211" w:type="dxa"/>
            <w:shd w:val="clear" w:color="auto" w:fill="auto"/>
            <w:vAlign w:val="center"/>
          </w:tcPr>
          <w:p w14:paraId="051EF43F">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钙通道阻滞剂作用增强</w:t>
            </w:r>
          </w:p>
        </w:tc>
        <w:tc>
          <w:tcPr>
            <w:tcW w:w="1639" w:type="dxa"/>
            <w:shd w:val="clear" w:color="auto" w:fill="auto"/>
            <w:vAlign w:val="center"/>
          </w:tcPr>
          <w:p w14:paraId="0F8CD21B">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由于抑制CYP3A4介导的代谢而增加钙通道阻滞剂的暴露</w:t>
            </w:r>
          </w:p>
        </w:tc>
        <w:tc>
          <w:tcPr>
            <w:tcW w:w="3421" w:type="dxa"/>
            <w:shd w:val="clear" w:color="auto" w:fill="auto"/>
            <w:vAlign w:val="center"/>
          </w:tcPr>
          <w:p w14:paraId="286518A5">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监测患者的心脏毒性（如QT间期延长、尖端扭转型室性心动过速、心动过缓、充血性心力衰竭）</w:t>
            </w:r>
          </w:p>
          <w:p w14:paraId="496F4CAE">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1.建议患者及时报告钙通道阻滞剂的任何不良反应，如头痛、面部潮红、严重低血压、反射性心动过速、水肿、呼吸困难、胸痛或胸闷。</w:t>
            </w:r>
          </w:p>
        </w:tc>
        <w:tc>
          <w:tcPr>
            <w:tcW w:w="1933" w:type="dxa"/>
            <w:shd w:val="clear" w:color="auto" w:fill="auto"/>
            <w:vAlign w:val="center"/>
          </w:tcPr>
          <w:p w14:paraId="4DDD87C7">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老年人具有临床意义的药物相互作用国际共识清单（欧洲，2021）</w:t>
            </w:r>
          </w:p>
        </w:tc>
      </w:tr>
      <w:tr w14:paraId="25E6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shd w:val="clear" w:color="000000" w:fill="FFFFFF"/>
            <w:vAlign w:val="center"/>
          </w:tcPr>
          <w:p w14:paraId="35F9B8F1">
            <w:pPr>
              <w:widowControl/>
              <w:wordWrap w:val="0"/>
              <w:topLinePunct/>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11</w:t>
            </w:r>
          </w:p>
        </w:tc>
        <w:tc>
          <w:tcPr>
            <w:tcW w:w="1541" w:type="dxa"/>
            <w:shd w:val="clear" w:color="auto" w:fill="auto"/>
            <w:vAlign w:val="center"/>
          </w:tcPr>
          <w:p w14:paraId="4838BD68">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硝酸酯类药物（硝酸甘油、硝酸异山梨酯/单硝酸异山梨酯）+西地那非</w:t>
            </w:r>
          </w:p>
        </w:tc>
        <w:tc>
          <w:tcPr>
            <w:tcW w:w="1211" w:type="dxa"/>
            <w:shd w:val="clear" w:color="auto" w:fill="auto"/>
            <w:vAlign w:val="center"/>
          </w:tcPr>
          <w:p w14:paraId="43C7200A">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sz w:val="18"/>
                <w:szCs w:val="18"/>
                <w14:textFill>
                  <w14:solidFill>
                    <w14:schemeClr w14:val="tx1"/>
                  </w14:solidFill>
                </w14:textFill>
                <w14:ligatures w14:val="standardContextual"/>
              </w:rPr>
              <w:t>严重低血压、心肌缺血</w:t>
            </w:r>
          </w:p>
        </w:tc>
        <w:tc>
          <w:tcPr>
            <w:tcW w:w="1639" w:type="dxa"/>
            <w:shd w:val="clear" w:color="auto" w:fill="auto"/>
            <w:vAlign w:val="center"/>
          </w:tcPr>
          <w:p w14:paraId="4924F0A1">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西地那非是</w:t>
            </w:r>
            <w:r>
              <w:rPr>
                <w:rFonts w:hint="eastAsia" w:ascii="Times New Roman" w:hAnsi="Times New Roman" w:cs="Times New Roman"/>
                <w:color w:val="000000" w:themeColor="text1"/>
                <w:sz w:val="18"/>
                <w:szCs w:val="18"/>
                <w14:textFill>
                  <w14:solidFill>
                    <w14:schemeClr w14:val="tx1"/>
                  </w14:solidFill>
                </w14:textFill>
                <w14:ligatures w14:val="standardContextual"/>
              </w:rPr>
              <w:t>PDE-5抑制剂，</w:t>
            </w: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对cGMP积累产生叠加效应，导致血管肌肉过度放松，而硝酸酯类药物通常会使NO释放过多，从而导致患者小血管过分松弛，引起患者血压降低，严重时可能会造成患者休克死亡。</w:t>
            </w:r>
          </w:p>
        </w:tc>
        <w:tc>
          <w:tcPr>
            <w:tcW w:w="3421" w:type="dxa"/>
            <w:shd w:val="clear" w:color="auto" w:fill="auto"/>
            <w:vAlign w:val="center"/>
          </w:tcPr>
          <w:p w14:paraId="293037E4">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1.禁止同时使用。</w:t>
            </w:r>
          </w:p>
          <w:p w14:paraId="39DCF2C8">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2.在使用西地那非后，硝酸酯类药物可以安全服用的时间尚不确定，可能长达48小时。</w:t>
            </w:r>
          </w:p>
          <w:p w14:paraId="6C5AAB09">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3.同时密切监测患者的血流动力学。</w:t>
            </w:r>
          </w:p>
        </w:tc>
        <w:tc>
          <w:tcPr>
            <w:tcW w:w="1933" w:type="dxa"/>
            <w:shd w:val="clear" w:color="auto" w:fill="auto"/>
            <w:vAlign w:val="center"/>
          </w:tcPr>
          <w:p w14:paraId="6D6063F0">
            <w:pPr>
              <w:widowControl/>
              <w:wordWrap w:val="0"/>
              <w:topLinePunct/>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14:ligatures w14:val="standardContextual"/>
              </w:rPr>
            </w:pP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Marlone药物相互作用表（美国，2021）</w:t>
            </w:r>
          </w:p>
        </w:tc>
      </w:tr>
    </w:tbl>
    <w:p w14:paraId="277102C9">
      <w:pPr>
        <w:pStyle w:val="7"/>
        <w:ind w:firstLine="36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注：RAS：</w:t>
      </w:r>
      <w:r>
        <w:rPr>
          <w:rFonts w:ascii="Times New Roman" w:hAnsi="Times New Roman" w:cs="Times New Roman"/>
          <w:color w:val="000000" w:themeColor="text1"/>
          <w:shd w:val="clear" w:color="auto" w:fill="FFFFFF"/>
          <w14:textFill>
            <w14:solidFill>
              <w14:schemeClr w14:val="tx1"/>
            </w14:solidFill>
          </w14:textFill>
        </w:rPr>
        <w:t>肾素-血管紧张素系统</w:t>
      </w:r>
      <w:r>
        <w:rPr>
          <w:rFonts w:ascii="Times New Roman" w:hAnsi="Times New Roman" w:cs="Times New Roman"/>
          <w:color w:val="000000" w:themeColor="text1"/>
          <w:kern w:val="0"/>
          <w14:textFill>
            <w14:solidFill>
              <w14:schemeClr w14:val="tx1"/>
            </w14:solidFill>
          </w14:textFill>
        </w:rPr>
        <w:t>，ACEIs：</w:t>
      </w:r>
      <w:r>
        <w:rPr>
          <w:rFonts w:ascii="Times New Roman" w:hAnsi="Times New Roman" w:cs="Times New Roman"/>
          <w:color w:val="000000" w:themeColor="text1"/>
          <w14:textFill>
            <w14:solidFill>
              <w14:schemeClr w14:val="tx1"/>
            </w14:solidFill>
          </w14:textFill>
        </w:rPr>
        <w:t>血管紧张素转换酶抑制剂，ARBs：血管紧张素II受体拮抗剂，</w:t>
      </w:r>
      <w:r>
        <w:rPr>
          <w:rFonts w:ascii="Times New Roman" w:hAnsi="Times New Roman" w:cs="Times New Roman"/>
          <w:color w:val="000000" w:themeColor="text1"/>
          <w:kern w:val="0"/>
          <w14:textFill>
            <w14:solidFill>
              <w14:schemeClr w14:val="tx1"/>
            </w14:solidFill>
          </w14:textFill>
        </w:rPr>
        <w:t>ARNIs：</w:t>
      </w:r>
      <w:r>
        <w:rPr>
          <w:rFonts w:ascii="Times New Roman" w:hAnsi="Times New Roman" w:cs="Times New Roman"/>
          <w:color w:val="000000" w:themeColor="text1"/>
          <w:shd w:val="clear" w:color="auto" w:fill="FFFFFF"/>
          <w14:textFill>
            <w14:solidFill>
              <w14:schemeClr w14:val="tx1"/>
            </w14:solidFill>
          </w14:textFill>
        </w:rPr>
        <w:t>血管紧张素脑啡肽酶受体抑制剂，</w:t>
      </w:r>
      <w:r>
        <w:rPr>
          <w:rFonts w:ascii="Times New Roman" w:hAnsi="Times New Roman" w:cs="Times New Roman"/>
          <w:color w:val="000000" w:themeColor="text1"/>
          <w:kern w:val="0"/>
          <w14:textFill>
            <w14:solidFill>
              <w14:schemeClr w14:val="tx1"/>
            </w14:solidFill>
          </w14:textFill>
        </w:rPr>
        <w:t>CKD-3a：慢性肾病3a期，cGMP：环磷酸鸟苷，</w:t>
      </w:r>
      <w:r>
        <w:rPr>
          <w:rFonts w:ascii="Times New Roman" w:hAnsi="Times New Roman" w:cs="Times New Roman"/>
          <w:color w:val="000000" w:themeColor="text1"/>
          <w14:textFill>
            <w14:solidFill>
              <w14:schemeClr w14:val="tx1"/>
            </w14:solidFill>
          </w14:textFill>
        </w:rPr>
        <w:t>OATP：有机阴离子转运多肽，CYP3A4：细胞色素P450 3A4酶，ECG：心电图，PPI：质子泵抑制剂，PDE-5：磷酸二酯酶-5抑制剂，COX-1：环氧化酶-1。</w:t>
      </w:r>
    </w:p>
    <w:p w14:paraId="3584902B">
      <w:pPr>
        <w:widowControl/>
        <w:spacing w:line="240" w:lineRule="auto"/>
        <w:ind w:firstLine="0" w:firstLineChars="0"/>
        <w:jc w:val="left"/>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14:paraId="399B8F79">
      <w:pPr>
        <w:pStyle w:val="89"/>
        <w:rPr>
          <w:color w:val="000000" w:themeColor="text1"/>
          <w14:textFill>
            <w14:solidFill>
              <w14:schemeClr w14:val="tx1"/>
            </w14:solidFill>
          </w14:textFill>
        </w:rPr>
      </w:pPr>
      <w:bookmarkStart w:id="228" w:name="_Toc23257"/>
      <w:bookmarkStart w:id="229" w:name="_Toc8253"/>
      <w:bookmarkStart w:id="230" w:name="_Toc7335"/>
      <w:bookmarkStart w:id="231" w:name="_Toc195469985"/>
      <w:r>
        <w:rPr>
          <w:rFonts w:hint="eastAsia"/>
          <w:color w:val="000000" w:themeColor="text1"/>
          <w14:textFill>
            <w14:solidFill>
              <w14:schemeClr w14:val="tx1"/>
            </w14:solidFill>
          </w14:textFill>
        </w:rPr>
        <w:t>附录E</w:t>
      </w:r>
      <w:bookmarkEnd w:id="228"/>
      <w:bookmarkEnd w:id="229"/>
      <w:bookmarkEnd w:id="230"/>
      <w:bookmarkEnd w:id="231"/>
    </w:p>
    <w:p w14:paraId="1FDBE43C">
      <w:pPr>
        <w:pStyle w:val="89"/>
        <w:rPr>
          <w:color w:val="000000" w:themeColor="text1"/>
          <w14:textFill>
            <w14:solidFill>
              <w14:schemeClr w14:val="tx1"/>
            </w14:solidFill>
          </w14:textFill>
        </w:rPr>
      </w:pPr>
      <w:bookmarkStart w:id="232" w:name="_Toc17938"/>
      <w:bookmarkStart w:id="233" w:name="_Toc27037"/>
      <w:bookmarkStart w:id="234" w:name="_Toc195469986"/>
      <w:bookmarkStart w:id="235" w:name="_Toc5961"/>
      <w:bookmarkStart w:id="236" w:name="_Toc195469322"/>
      <w:r>
        <w:rPr>
          <w:rFonts w:hint="eastAsia"/>
          <w:color w:val="000000" w:themeColor="text1"/>
          <w14:textFill>
            <w14:solidFill>
              <w14:schemeClr w14:val="tx1"/>
            </w14:solidFill>
          </w14:textFill>
        </w:rPr>
        <w:t>（资料性）</w:t>
      </w:r>
      <w:bookmarkEnd w:id="232"/>
      <w:bookmarkEnd w:id="233"/>
      <w:bookmarkEnd w:id="234"/>
      <w:bookmarkEnd w:id="235"/>
      <w:bookmarkEnd w:id="236"/>
    </w:p>
    <w:p w14:paraId="51CF8C04">
      <w:pPr>
        <w:pStyle w:val="89"/>
        <w:rPr>
          <w:color w:val="000000" w:themeColor="text1"/>
          <w14:textFill>
            <w14:solidFill>
              <w14:schemeClr w14:val="tx1"/>
            </w14:solidFill>
          </w14:textFill>
        </w:rPr>
      </w:pPr>
      <w:bookmarkStart w:id="237" w:name="_Toc25864"/>
      <w:bookmarkStart w:id="238" w:name="_Toc9293"/>
      <w:bookmarkStart w:id="239" w:name="_Toc195469987"/>
      <w:bookmarkStart w:id="240" w:name="_Toc6220"/>
      <w:r>
        <w:rPr>
          <w:rFonts w:hint="eastAsia"/>
          <w:color w:val="000000" w:themeColor="text1"/>
          <w14:textFill>
            <w14:solidFill>
              <w14:schemeClr w14:val="tx1"/>
            </w14:solidFill>
          </w14:textFill>
        </w:rPr>
        <w:t>老年冠心病患者高风险药物替代方案</w:t>
      </w:r>
      <w:bookmarkEnd w:id="237"/>
      <w:bookmarkEnd w:id="238"/>
      <w:bookmarkEnd w:id="239"/>
      <w:bookmarkEnd w:id="240"/>
    </w:p>
    <w:tbl>
      <w:tblPr>
        <w:tblStyle w:val="7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1601"/>
        <w:gridCol w:w="2068"/>
        <w:gridCol w:w="1821"/>
        <w:gridCol w:w="2681"/>
      </w:tblGrid>
      <w:tr w14:paraId="1009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0" w:type="auto"/>
            <w:vAlign w:val="center"/>
          </w:tcPr>
          <w:p w14:paraId="223B5477">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序号</w:t>
            </w:r>
          </w:p>
        </w:tc>
        <w:tc>
          <w:tcPr>
            <w:tcW w:w="0" w:type="auto"/>
            <w:vAlign w:val="center"/>
          </w:tcPr>
          <w:p w14:paraId="592418FE">
            <w:pPr>
              <w:widowControl/>
              <w:spacing w:line="240" w:lineRule="auto"/>
              <w:ind w:firstLine="0" w:firstLineChars="0"/>
              <w:jc w:val="center"/>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高风险药物类别</w:t>
            </w:r>
          </w:p>
        </w:tc>
        <w:tc>
          <w:tcPr>
            <w:tcW w:w="0" w:type="auto"/>
            <w:vAlign w:val="center"/>
          </w:tcPr>
          <w:p w14:paraId="58DFB837">
            <w:pPr>
              <w:widowControl/>
              <w:spacing w:line="240" w:lineRule="auto"/>
              <w:ind w:firstLine="0" w:firstLineChars="0"/>
              <w:jc w:val="center"/>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高风险药物</w:t>
            </w:r>
          </w:p>
        </w:tc>
        <w:tc>
          <w:tcPr>
            <w:tcW w:w="0" w:type="auto"/>
            <w:vAlign w:val="center"/>
          </w:tcPr>
          <w:p w14:paraId="19AAFE0F">
            <w:pPr>
              <w:widowControl/>
              <w:spacing w:line="240" w:lineRule="auto"/>
              <w:ind w:firstLine="0" w:firstLineChars="0"/>
              <w:jc w:val="center"/>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可替代方案</w:t>
            </w:r>
          </w:p>
        </w:tc>
        <w:tc>
          <w:tcPr>
            <w:tcW w:w="0" w:type="auto"/>
            <w:vAlign w:val="center"/>
          </w:tcPr>
          <w:p w14:paraId="4FE14463">
            <w:pPr>
              <w:widowControl/>
              <w:spacing w:line="240" w:lineRule="auto"/>
              <w:ind w:firstLine="0" w:firstLineChars="0"/>
              <w:jc w:val="center"/>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依据</w:t>
            </w:r>
          </w:p>
        </w:tc>
      </w:tr>
      <w:tr w14:paraId="2FD9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0" w:type="auto"/>
            <w:vAlign w:val="center"/>
          </w:tcPr>
          <w:p w14:paraId="5699813A">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1</w:t>
            </w:r>
          </w:p>
        </w:tc>
        <w:tc>
          <w:tcPr>
            <w:tcW w:w="0" w:type="auto"/>
            <w:vAlign w:val="center"/>
          </w:tcPr>
          <w:p w14:paraId="59FF6F40">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抗血小板药物</w:t>
            </w:r>
          </w:p>
        </w:tc>
        <w:tc>
          <w:tcPr>
            <w:tcW w:w="0" w:type="auto"/>
            <w:vAlign w:val="center"/>
          </w:tcPr>
          <w:p w14:paraId="375BDAA5">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噻氯匹啶、普拉格雷*</w:t>
            </w:r>
          </w:p>
        </w:tc>
        <w:tc>
          <w:tcPr>
            <w:tcW w:w="0" w:type="auto"/>
            <w:vAlign w:val="center"/>
          </w:tcPr>
          <w:p w14:paraId="59DFB119">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氯吡格雷、阿司匹林</w:t>
            </w:r>
          </w:p>
        </w:tc>
        <w:tc>
          <w:tcPr>
            <w:tcW w:w="0" w:type="auto"/>
            <w:vAlign w:val="center"/>
          </w:tcPr>
          <w:p w14:paraId="7599FF05">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PRISCUS列表（德国，2023）</w:t>
            </w:r>
          </w:p>
        </w:tc>
      </w:tr>
      <w:tr w14:paraId="4173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vMerge w:val="restart"/>
            <w:vAlign w:val="center"/>
          </w:tcPr>
          <w:p w14:paraId="3FA1E09E">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2</w:t>
            </w:r>
          </w:p>
        </w:tc>
        <w:tc>
          <w:tcPr>
            <w:tcW w:w="0" w:type="auto"/>
            <w:vMerge w:val="restart"/>
            <w:vAlign w:val="center"/>
          </w:tcPr>
          <w:p w14:paraId="4032ED02">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降压药</w:t>
            </w:r>
          </w:p>
        </w:tc>
        <w:tc>
          <w:tcPr>
            <w:tcW w:w="0" w:type="auto"/>
            <w:vAlign w:val="center"/>
          </w:tcPr>
          <w:p w14:paraId="7CBB36DF">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胍那苄*、胍法辛*、甲基多巴、可乐定、莫索尼定</w:t>
            </w:r>
          </w:p>
        </w:tc>
        <w:tc>
          <w:tcPr>
            <w:tcW w:w="0" w:type="auto"/>
            <w:vAlign w:val="center"/>
          </w:tcPr>
          <w:p w14:paraId="3534FE5A">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ACEIs、其他降压药</w:t>
            </w:r>
          </w:p>
        </w:tc>
        <w:tc>
          <w:tcPr>
            <w:tcW w:w="0" w:type="auto"/>
            <w:vAlign w:val="center"/>
          </w:tcPr>
          <w:p w14:paraId="4D0E878E">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PRISCUS列表（德国，2023）</w:t>
            </w:r>
          </w:p>
        </w:tc>
      </w:tr>
      <w:tr w14:paraId="4ACC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0" w:type="auto"/>
            <w:vMerge w:val="continue"/>
            <w:vAlign w:val="center"/>
          </w:tcPr>
          <w:p w14:paraId="7A11C80D">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p>
        </w:tc>
        <w:tc>
          <w:tcPr>
            <w:tcW w:w="0" w:type="auto"/>
            <w:vMerge w:val="continue"/>
            <w:vAlign w:val="center"/>
          </w:tcPr>
          <w:p w14:paraId="17349981">
            <w:pPr>
              <w:widowControl/>
              <w:spacing w:line="240" w:lineRule="auto"/>
              <w:ind w:firstLine="360"/>
              <w:textAlignment w:val="center"/>
              <w:rPr>
                <w:rFonts w:cstheme="minorHAnsi"/>
                <w:color w:val="000000" w:themeColor="text1"/>
                <w:kern w:val="0"/>
                <w:sz w:val="18"/>
                <w:szCs w:val="18"/>
                <w:lang w:bidi="ar"/>
                <w14:textFill>
                  <w14:solidFill>
                    <w14:schemeClr w14:val="tx1"/>
                  </w14:solidFill>
                </w14:textFill>
              </w:rPr>
            </w:pPr>
          </w:p>
        </w:tc>
        <w:tc>
          <w:tcPr>
            <w:tcW w:w="0" w:type="auto"/>
            <w:vAlign w:val="center"/>
          </w:tcPr>
          <w:p w14:paraId="57F1AA3A">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多沙唑嗪</w:t>
            </w:r>
          </w:p>
        </w:tc>
        <w:tc>
          <w:tcPr>
            <w:tcW w:w="0" w:type="auto"/>
            <w:vAlign w:val="center"/>
          </w:tcPr>
          <w:p w14:paraId="6D1C4E08">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ACEIs、其他降压药</w:t>
            </w:r>
          </w:p>
        </w:tc>
        <w:tc>
          <w:tcPr>
            <w:tcW w:w="0" w:type="auto"/>
            <w:vAlign w:val="center"/>
          </w:tcPr>
          <w:p w14:paraId="71EA7660">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PRISCUS列表（德国，2023）</w:t>
            </w:r>
          </w:p>
        </w:tc>
      </w:tr>
      <w:tr w14:paraId="12A9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0" w:type="auto"/>
            <w:vMerge w:val="continue"/>
            <w:vAlign w:val="center"/>
          </w:tcPr>
          <w:p w14:paraId="15575724">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p>
        </w:tc>
        <w:tc>
          <w:tcPr>
            <w:tcW w:w="0" w:type="auto"/>
            <w:vMerge w:val="continue"/>
            <w:vAlign w:val="center"/>
          </w:tcPr>
          <w:p w14:paraId="52B6C037">
            <w:pPr>
              <w:widowControl/>
              <w:spacing w:line="240" w:lineRule="auto"/>
              <w:ind w:firstLine="360"/>
              <w:textAlignment w:val="center"/>
              <w:rPr>
                <w:rFonts w:cstheme="minorHAnsi"/>
                <w:color w:val="000000" w:themeColor="text1"/>
                <w:kern w:val="0"/>
                <w:sz w:val="18"/>
                <w:szCs w:val="18"/>
                <w:lang w:bidi="ar"/>
                <w14:textFill>
                  <w14:solidFill>
                    <w14:schemeClr w14:val="tx1"/>
                  </w14:solidFill>
                </w14:textFill>
              </w:rPr>
            </w:pPr>
          </w:p>
        </w:tc>
        <w:tc>
          <w:tcPr>
            <w:tcW w:w="0" w:type="auto"/>
            <w:vAlign w:val="center"/>
          </w:tcPr>
          <w:p w14:paraId="47F8EA67">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特拉唑嗪</w:t>
            </w:r>
          </w:p>
        </w:tc>
        <w:tc>
          <w:tcPr>
            <w:tcW w:w="0" w:type="auto"/>
            <w:vAlign w:val="center"/>
          </w:tcPr>
          <w:p w14:paraId="334544E4">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ACEIs、其他降压药</w:t>
            </w:r>
          </w:p>
        </w:tc>
        <w:tc>
          <w:tcPr>
            <w:tcW w:w="0" w:type="auto"/>
            <w:vAlign w:val="center"/>
          </w:tcPr>
          <w:p w14:paraId="03709FA5">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PRISCUS列表（德国，2023）</w:t>
            </w:r>
          </w:p>
        </w:tc>
      </w:tr>
      <w:tr w14:paraId="6A07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0" w:type="auto"/>
            <w:vMerge w:val="continue"/>
            <w:vAlign w:val="center"/>
          </w:tcPr>
          <w:p w14:paraId="0062A2A9">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p>
        </w:tc>
        <w:tc>
          <w:tcPr>
            <w:tcW w:w="0" w:type="auto"/>
            <w:vMerge w:val="continue"/>
            <w:vAlign w:val="center"/>
          </w:tcPr>
          <w:p w14:paraId="6306CB37">
            <w:pPr>
              <w:widowControl/>
              <w:spacing w:line="240" w:lineRule="auto"/>
              <w:ind w:firstLine="360"/>
              <w:textAlignment w:val="center"/>
              <w:rPr>
                <w:rFonts w:cstheme="minorHAnsi"/>
                <w:color w:val="000000" w:themeColor="text1"/>
                <w:kern w:val="0"/>
                <w:sz w:val="18"/>
                <w:szCs w:val="18"/>
                <w:lang w:bidi="ar"/>
                <w14:textFill>
                  <w14:solidFill>
                    <w14:schemeClr w14:val="tx1"/>
                  </w14:solidFill>
                </w14:textFill>
              </w:rPr>
            </w:pPr>
          </w:p>
        </w:tc>
        <w:tc>
          <w:tcPr>
            <w:tcW w:w="0" w:type="auto"/>
            <w:vAlign w:val="center"/>
          </w:tcPr>
          <w:p w14:paraId="16AEE210">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双肼屈嗪、肼屈嗪</w:t>
            </w:r>
          </w:p>
        </w:tc>
        <w:tc>
          <w:tcPr>
            <w:tcW w:w="0" w:type="auto"/>
            <w:vAlign w:val="center"/>
          </w:tcPr>
          <w:p w14:paraId="4E2342F3">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ACEIs、其他降压药</w:t>
            </w:r>
          </w:p>
        </w:tc>
        <w:tc>
          <w:tcPr>
            <w:tcW w:w="0" w:type="auto"/>
            <w:vAlign w:val="center"/>
          </w:tcPr>
          <w:p w14:paraId="39CC3487">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PRISCUS列表（德国，2023）</w:t>
            </w:r>
          </w:p>
        </w:tc>
      </w:tr>
      <w:tr w14:paraId="624C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0" w:type="auto"/>
            <w:vMerge w:val="continue"/>
            <w:vAlign w:val="center"/>
          </w:tcPr>
          <w:p w14:paraId="4C3A866C">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p>
        </w:tc>
        <w:tc>
          <w:tcPr>
            <w:tcW w:w="0" w:type="auto"/>
            <w:vMerge w:val="continue"/>
            <w:vAlign w:val="center"/>
          </w:tcPr>
          <w:p w14:paraId="7C43C83B">
            <w:pPr>
              <w:widowControl/>
              <w:spacing w:line="240" w:lineRule="auto"/>
              <w:ind w:firstLine="360"/>
              <w:textAlignment w:val="center"/>
              <w:rPr>
                <w:rFonts w:cstheme="minorHAnsi"/>
                <w:color w:val="000000" w:themeColor="text1"/>
                <w:kern w:val="0"/>
                <w:sz w:val="18"/>
                <w:szCs w:val="18"/>
                <w:lang w:bidi="ar"/>
                <w14:textFill>
                  <w14:solidFill>
                    <w14:schemeClr w14:val="tx1"/>
                  </w14:solidFill>
                </w14:textFill>
              </w:rPr>
            </w:pPr>
          </w:p>
        </w:tc>
        <w:tc>
          <w:tcPr>
            <w:tcW w:w="0" w:type="auto"/>
            <w:vAlign w:val="center"/>
          </w:tcPr>
          <w:p w14:paraId="4F6567F5">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米诺地尔</w:t>
            </w:r>
          </w:p>
        </w:tc>
        <w:tc>
          <w:tcPr>
            <w:tcW w:w="0" w:type="auto"/>
            <w:vAlign w:val="center"/>
          </w:tcPr>
          <w:p w14:paraId="00520AD5">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ACEIs、其他降压药</w:t>
            </w:r>
          </w:p>
        </w:tc>
        <w:tc>
          <w:tcPr>
            <w:tcW w:w="0" w:type="auto"/>
            <w:vAlign w:val="center"/>
          </w:tcPr>
          <w:p w14:paraId="66764546">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PRISCUS列表（德国，2023）</w:t>
            </w:r>
          </w:p>
        </w:tc>
      </w:tr>
      <w:tr w14:paraId="5976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0" w:type="auto"/>
            <w:vAlign w:val="center"/>
          </w:tcPr>
          <w:p w14:paraId="2B2E9DC3">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3</w:t>
            </w:r>
          </w:p>
        </w:tc>
        <w:tc>
          <w:tcPr>
            <w:tcW w:w="0" w:type="auto"/>
            <w:vAlign w:val="center"/>
          </w:tcPr>
          <w:p w14:paraId="3666FB03">
            <w:pPr>
              <w:widowControl/>
              <w:spacing w:line="240" w:lineRule="auto"/>
              <w:ind w:firstLineChars="111"/>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利尿剂</w:t>
            </w:r>
          </w:p>
        </w:tc>
        <w:tc>
          <w:tcPr>
            <w:tcW w:w="0" w:type="auto"/>
            <w:vAlign w:val="center"/>
          </w:tcPr>
          <w:p w14:paraId="27B86C45">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螺内酯＞25 mg/天</w:t>
            </w:r>
          </w:p>
        </w:tc>
        <w:tc>
          <w:tcPr>
            <w:tcW w:w="0" w:type="auto"/>
            <w:vAlign w:val="center"/>
          </w:tcPr>
          <w:p w14:paraId="691E6629">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螺内酯≤25 mg/天</w:t>
            </w:r>
          </w:p>
        </w:tc>
        <w:tc>
          <w:tcPr>
            <w:tcW w:w="0" w:type="auto"/>
            <w:vAlign w:val="center"/>
          </w:tcPr>
          <w:p w14:paraId="4E421D98">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PRISCUS列表（德国，2023）</w:t>
            </w:r>
          </w:p>
        </w:tc>
      </w:tr>
      <w:tr w14:paraId="1A10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vMerge w:val="restart"/>
            <w:vAlign w:val="center"/>
          </w:tcPr>
          <w:p w14:paraId="233E69E2">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4</w:t>
            </w:r>
          </w:p>
        </w:tc>
        <w:tc>
          <w:tcPr>
            <w:tcW w:w="0" w:type="auto"/>
            <w:vMerge w:val="restart"/>
            <w:vAlign w:val="center"/>
          </w:tcPr>
          <w:p w14:paraId="2C70D8E5">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外周血管扩张剂</w:t>
            </w:r>
          </w:p>
        </w:tc>
        <w:tc>
          <w:tcPr>
            <w:tcW w:w="0" w:type="auto"/>
            <w:vAlign w:val="center"/>
          </w:tcPr>
          <w:p w14:paraId="003DA236">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己酮可可碱</w:t>
            </w:r>
          </w:p>
        </w:tc>
        <w:tc>
          <w:tcPr>
            <w:tcW w:w="0" w:type="auto"/>
            <w:vAlign w:val="center"/>
          </w:tcPr>
          <w:p w14:paraId="57849D00">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美金刚、阿司匹林；步行训练</w:t>
            </w:r>
          </w:p>
        </w:tc>
        <w:tc>
          <w:tcPr>
            <w:tcW w:w="0" w:type="auto"/>
            <w:vAlign w:val="center"/>
          </w:tcPr>
          <w:p w14:paraId="1587E95D">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PRISCUS列表（德国，2023）</w:t>
            </w:r>
          </w:p>
        </w:tc>
      </w:tr>
      <w:tr w14:paraId="3CC6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0" w:type="auto"/>
            <w:vMerge w:val="continue"/>
            <w:vAlign w:val="center"/>
          </w:tcPr>
          <w:p w14:paraId="7D7D4656">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p>
        </w:tc>
        <w:tc>
          <w:tcPr>
            <w:tcW w:w="0" w:type="auto"/>
            <w:vMerge w:val="continue"/>
            <w:vAlign w:val="center"/>
          </w:tcPr>
          <w:p w14:paraId="4A004E72">
            <w:pPr>
              <w:widowControl/>
              <w:spacing w:line="240" w:lineRule="auto"/>
              <w:ind w:firstLine="360"/>
              <w:textAlignment w:val="center"/>
              <w:rPr>
                <w:rFonts w:cstheme="minorHAnsi"/>
                <w:color w:val="000000" w:themeColor="text1"/>
                <w:kern w:val="0"/>
                <w:sz w:val="18"/>
                <w:szCs w:val="18"/>
                <w:lang w:bidi="ar"/>
                <w14:textFill>
                  <w14:solidFill>
                    <w14:schemeClr w14:val="tx1"/>
                  </w14:solidFill>
                </w14:textFill>
              </w:rPr>
            </w:pPr>
          </w:p>
        </w:tc>
        <w:tc>
          <w:tcPr>
            <w:tcW w:w="0" w:type="auto"/>
            <w:vAlign w:val="center"/>
          </w:tcPr>
          <w:p w14:paraId="08CE5956">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萘夫胺*、西洛他唑</w:t>
            </w:r>
          </w:p>
        </w:tc>
        <w:tc>
          <w:tcPr>
            <w:tcW w:w="0" w:type="auto"/>
            <w:vAlign w:val="center"/>
          </w:tcPr>
          <w:p w14:paraId="6F45FDA0">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阿司匹林、步行训练</w:t>
            </w:r>
          </w:p>
        </w:tc>
        <w:tc>
          <w:tcPr>
            <w:tcW w:w="0" w:type="auto"/>
            <w:vAlign w:val="center"/>
          </w:tcPr>
          <w:p w14:paraId="6B1FC49B">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PRISCUS列表（德国，2023）</w:t>
            </w:r>
          </w:p>
        </w:tc>
      </w:tr>
      <w:tr w14:paraId="2514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0" w:type="auto"/>
            <w:vAlign w:val="center"/>
          </w:tcPr>
          <w:p w14:paraId="1F9C569A">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5</w:t>
            </w:r>
          </w:p>
        </w:tc>
        <w:tc>
          <w:tcPr>
            <w:tcW w:w="0" w:type="auto"/>
            <w:vAlign w:val="center"/>
          </w:tcPr>
          <w:p w14:paraId="4BB322DE">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ascii="Times New Roman" w:hAnsi="Times New Roman" w:cs="Times New Roman"/>
                <w:i/>
                <w:iCs/>
                <w:color w:val="000000" w:themeColor="text1"/>
                <w:kern w:val="0"/>
                <w:sz w:val="18"/>
                <w:szCs w:val="18"/>
                <w:lang w:bidi="ar"/>
                <w14:textFill>
                  <w14:solidFill>
                    <w14:schemeClr w14:val="tx1"/>
                  </w14:solidFill>
                </w14:textFill>
              </w:rPr>
              <w:t>β</w:t>
            </w:r>
            <w:r>
              <w:rPr>
                <w:rFonts w:hint="eastAsia" w:cstheme="minorHAnsi"/>
                <w:color w:val="000000" w:themeColor="text1"/>
                <w:kern w:val="0"/>
                <w:sz w:val="18"/>
                <w:szCs w:val="18"/>
                <w:lang w:bidi="ar"/>
                <w14:textFill>
                  <w14:solidFill>
                    <w14:schemeClr w14:val="tx1"/>
                  </w14:solidFill>
                </w14:textFill>
              </w:rPr>
              <w:t>受体阻滞剂</w:t>
            </w:r>
          </w:p>
        </w:tc>
        <w:tc>
          <w:tcPr>
            <w:tcW w:w="0" w:type="auto"/>
            <w:vAlign w:val="center"/>
          </w:tcPr>
          <w:p w14:paraId="324D7F15">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吲哚洛尔、普萘洛尔、索他洛尔</w:t>
            </w:r>
          </w:p>
        </w:tc>
        <w:tc>
          <w:tcPr>
            <w:tcW w:w="0" w:type="auto"/>
            <w:vAlign w:val="center"/>
          </w:tcPr>
          <w:p w14:paraId="621119B3">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其他选择性</w:t>
            </w:r>
            <w:r>
              <w:rPr>
                <w:rFonts w:cstheme="minorHAnsi"/>
                <w:i/>
                <w:iCs/>
                <w:color w:val="000000" w:themeColor="text1"/>
                <w:kern w:val="0"/>
                <w:sz w:val="18"/>
                <w:szCs w:val="18"/>
                <w:lang w:bidi="ar"/>
                <w14:textFill>
                  <w14:solidFill>
                    <w14:schemeClr w14:val="tx1"/>
                  </w14:solidFill>
                </w14:textFill>
              </w:rPr>
              <w:t>β</w:t>
            </w:r>
            <w:r>
              <w:rPr>
                <w:rFonts w:hint="eastAsia" w:cstheme="minorHAnsi"/>
                <w:color w:val="000000" w:themeColor="text1"/>
                <w:kern w:val="0"/>
                <w:sz w:val="18"/>
                <w:szCs w:val="18"/>
                <w:lang w:bidi="ar"/>
                <w14:textFill>
                  <w14:solidFill>
                    <w14:schemeClr w14:val="tx1"/>
                  </w14:solidFill>
                </w14:textFill>
              </w:rPr>
              <w:t>受体阻滞剂</w:t>
            </w:r>
          </w:p>
        </w:tc>
        <w:tc>
          <w:tcPr>
            <w:tcW w:w="0" w:type="auto"/>
            <w:vAlign w:val="center"/>
          </w:tcPr>
          <w:p w14:paraId="4513D666">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PRISCUS列表（德国，2023）</w:t>
            </w:r>
          </w:p>
        </w:tc>
      </w:tr>
      <w:tr w14:paraId="7129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0" w:type="auto"/>
            <w:vAlign w:val="center"/>
          </w:tcPr>
          <w:p w14:paraId="2A780039">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6</w:t>
            </w:r>
          </w:p>
        </w:tc>
        <w:tc>
          <w:tcPr>
            <w:tcW w:w="0" w:type="auto"/>
            <w:vAlign w:val="center"/>
          </w:tcPr>
          <w:p w14:paraId="58AD4C7E">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钙离子通道阻滞剂</w:t>
            </w:r>
          </w:p>
        </w:tc>
        <w:tc>
          <w:tcPr>
            <w:tcW w:w="0" w:type="auto"/>
            <w:vAlign w:val="center"/>
          </w:tcPr>
          <w:p w14:paraId="0B5C6A0C">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硝苯地平（速释）</w:t>
            </w:r>
          </w:p>
        </w:tc>
        <w:tc>
          <w:tcPr>
            <w:tcW w:w="0" w:type="auto"/>
            <w:vAlign w:val="center"/>
          </w:tcPr>
          <w:p w14:paraId="735D13E4">
            <w:pPr>
              <w:widowControl/>
              <w:spacing w:line="240" w:lineRule="auto"/>
              <w:ind w:firstLine="0" w:firstLineChars="0"/>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长效二氢吡啶CCB（例如氨氯地平）</w:t>
            </w:r>
          </w:p>
        </w:tc>
        <w:tc>
          <w:tcPr>
            <w:tcW w:w="0" w:type="auto"/>
            <w:vAlign w:val="center"/>
          </w:tcPr>
          <w:p w14:paraId="54D1013F">
            <w:pPr>
              <w:widowControl/>
              <w:spacing w:line="240" w:lineRule="auto"/>
              <w:ind w:firstLine="0" w:firstLineChars="0"/>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PRISCUS列表（德国，2023）、药物替代方案（美国，2015）</w:t>
            </w:r>
          </w:p>
        </w:tc>
      </w:tr>
      <w:tr w14:paraId="7A46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Align w:val="center"/>
          </w:tcPr>
          <w:p w14:paraId="66A9D584">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7</w:t>
            </w:r>
          </w:p>
        </w:tc>
        <w:tc>
          <w:tcPr>
            <w:tcW w:w="0" w:type="auto"/>
            <w:vAlign w:val="center"/>
          </w:tcPr>
          <w:p w14:paraId="1C711261">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作用于肾素-血管紧张素系统的药物</w:t>
            </w:r>
          </w:p>
        </w:tc>
        <w:tc>
          <w:tcPr>
            <w:tcW w:w="0" w:type="auto"/>
            <w:vAlign w:val="center"/>
          </w:tcPr>
          <w:p w14:paraId="38DADC85">
            <w:pPr>
              <w:widowControl/>
              <w:spacing w:line="240" w:lineRule="auto"/>
              <w:ind w:firstLine="0" w:firstLineChars="0"/>
              <w:textAlignment w:val="center"/>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阿利吉仑</w:t>
            </w:r>
          </w:p>
        </w:tc>
        <w:tc>
          <w:tcPr>
            <w:tcW w:w="0" w:type="auto"/>
            <w:vAlign w:val="center"/>
          </w:tcPr>
          <w:p w14:paraId="3F4AA685">
            <w:pPr>
              <w:widowControl/>
              <w:spacing w:line="240" w:lineRule="auto"/>
              <w:ind w:firstLine="0" w:firstLineChars="0"/>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ACEIs、ARBs类</w:t>
            </w:r>
          </w:p>
        </w:tc>
        <w:tc>
          <w:tcPr>
            <w:tcW w:w="0" w:type="auto"/>
            <w:vAlign w:val="center"/>
          </w:tcPr>
          <w:p w14:paraId="2DE30BBE">
            <w:pPr>
              <w:widowControl/>
              <w:spacing w:line="240" w:lineRule="auto"/>
              <w:ind w:firstLine="0" w:firstLineChars="0"/>
              <w:rPr>
                <w:rFonts w:cstheme="minorHAnsi"/>
                <w:color w:val="000000" w:themeColor="text1"/>
                <w:kern w:val="0"/>
                <w:sz w:val="18"/>
                <w:szCs w:val="18"/>
                <w:lang w:bidi="ar"/>
                <w14:textFill>
                  <w14:solidFill>
                    <w14:schemeClr w14:val="tx1"/>
                  </w14:solidFill>
                </w14:textFill>
              </w:rPr>
            </w:pPr>
            <w:r>
              <w:rPr>
                <w:rFonts w:hint="eastAsia" w:cstheme="minorHAnsi"/>
                <w:color w:val="000000" w:themeColor="text1"/>
                <w:kern w:val="0"/>
                <w:sz w:val="18"/>
                <w:szCs w:val="18"/>
                <w:lang w:bidi="ar"/>
                <w14:textFill>
                  <w14:solidFill>
                    <w14:schemeClr w14:val="tx1"/>
                  </w14:solidFill>
                </w14:textFill>
              </w:rPr>
              <w:t>PRISCUS列表（德国，2023）</w:t>
            </w:r>
          </w:p>
        </w:tc>
      </w:tr>
    </w:tbl>
    <w:p w14:paraId="7418FB7A">
      <w:pPr>
        <w:pStyle w:val="7"/>
        <w:ind w:firstLine="36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注：ACEIs</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血管紧张素转换酶抑制剂，ARBs：血管紧张素II受体拮抗剂，CCB：钙离子通道阻滞剂，</w:t>
      </w:r>
      <w:r>
        <w:rPr>
          <w:rFonts w:ascii="Times New Roman" w:hAnsi="Times New Roman" w:cs="Times New Roman"/>
          <w:color w:val="000000" w:themeColor="text1"/>
          <w:kern w:val="0"/>
          <w14:textFill>
            <w14:solidFill>
              <w14:schemeClr w14:val="tx1"/>
            </w14:solidFill>
          </w14:textFill>
          <w14:ligatures w14:val="standardContextual"/>
        </w:rPr>
        <w:t>*</w:t>
      </w:r>
      <w:r>
        <w:rPr>
          <w:rFonts w:ascii="Times New Roman" w:hAnsi="Times New Roman" w:cs="Times New Roman"/>
          <w:color w:val="000000" w:themeColor="text1"/>
          <w14:textFill>
            <w14:solidFill>
              <w14:schemeClr w14:val="tx1"/>
            </w14:solidFill>
          </w14:textFill>
        </w:rPr>
        <w:t>为国内未上市药品。</w:t>
      </w:r>
    </w:p>
    <w:p w14:paraId="7D745E58">
      <w:pPr>
        <w:widowControl/>
        <w:spacing w:line="240" w:lineRule="auto"/>
        <w:ind w:firstLine="0" w:firstLineChars="0"/>
        <w:jc w:val="left"/>
        <w:rPr>
          <w:b/>
          <w:bCs/>
          <w:color w:val="000000" w:themeColor="text1"/>
          <w:sz w:val="28"/>
          <w:szCs w:val="36"/>
          <w14:textFill>
            <w14:solidFill>
              <w14:schemeClr w14:val="tx1"/>
            </w14:solidFill>
          </w14:textFill>
        </w:rPr>
      </w:pPr>
      <w:r>
        <w:rPr>
          <w:color w:val="000000" w:themeColor="text1"/>
          <w14:textFill>
            <w14:solidFill>
              <w14:schemeClr w14:val="tx1"/>
            </w14:solidFill>
          </w14:textFill>
        </w:rPr>
        <w:br w:type="page"/>
      </w:r>
    </w:p>
    <w:p w14:paraId="74544CE1">
      <w:pPr>
        <w:pStyle w:val="89"/>
        <w:rPr>
          <w:color w:val="000000" w:themeColor="text1"/>
          <w14:textFill>
            <w14:solidFill>
              <w14:schemeClr w14:val="tx1"/>
            </w14:solidFill>
          </w14:textFill>
        </w:rPr>
      </w:pPr>
      <w:bookmarkStart w:id="241" w:name="_Toc3857"/>
      <w:bookmarkStart w:id="242" w:name="_Toc5622"/>
      <w:bookmarkStart w:id="243" w:name="_Toc25118"/>
      <w:bookmarkStart w:id="244" w:name="_Toc195469988"/>
      <w:r>
        <w:rPr>
          <w:rFonts w:hint="eastAsia"/>
          <w:color w:val="000000" w:themeColor="text1"/>
          <w14:textFill>
            <w14:solidFill>
              <w14:schemeClr w14:val="tx1"/>
            </w14:solidFill>
          </w14:textFill>
        </w:rPr>
        <w:t>附录F</w:t>
      </w:r>
      <w:bookmarkEnd w:id="241"/>
      <w:bookmarkEnd w:id="242"/>
      <w:bookmarkEnd w:id="243"/>
      <w:bookmarkEnd w:id="244"/>
    </w:p>
    <w:p w14:paraId="611637C4">
      <w:pPr>
        <w:pStyle w:val="89"/>
        <w:rPr>
          <w:color w:val="000000" w:themeColor="text1"/>
          <w14:textFill>
            <w14:solidFill>
              <w14:schemeClr w14:val="tx1"/>
            </w14:solidFill>
          </w14:textFill>
        </w:rPr>
      </w:pPr>
      <w:bookmarkStart w:id="245" w:name="_Toc6095"/>
      <w:bookmarkStart w:id="246" w:name="_Toc195469989"/>
      <w:bookmarkStart w:id="247" w:name="_Toc4930"/>
      <w:bookmarkStart w:id="248" w:name="_Toc32598"/>
      <w:r>
        <w:rPr>
          <w:rFonts w:hint="eastAsia"/>
          <w:color w:val="000000" w:themeColor="text1"/>
          <w14:textFill>
            <w14:solidFill>
              <w14:schemeClr w14:val="tx1"/>
            </w14:solidFill>
          </w14:textFill>
        </w:rPr>
        <w:t>（资料性）</w:t>
      </w:r>
      <w:bookmarkEnd w:id="245"/>
      <w:bookmarkEnd w:id="246"/>
      <w:bookmarkEnd w:id="247"/>
      <w:bookmarkEnd w:id="248"/>
    </w:p>
    <w:p w14:paraId="2C6646ED">
      <w:pPr>
        <w:pStyle w:val="89"/>
        <w:rPr>
          <w:color w:val="000000" w:themeColor="text1"/>
          <w14:textFill>
            <w14:solidFill>
              <w14:schemeClr w14:val="tx1"/>
            </w14:solidFill>
          </w14:textFill>
        </w:rPr>
      </w:pPr>
      <w:bookmarkStart w:id="249" w:name="_Toc27381"/>
      <w:bookmarkStart w:id="250" w:name="_Toc14908"/>
      <w:bookmarkStart w:id="251" w:name="_Toc17176"/>
      <w:bookmarkStart w:id="252" w:name="_Toc195469990"/>
      <w:r>
        <w:rPr>
          <w:rFonts w:hint="eastAsia"/>
          <w:color w:val="000000" w:themeColor="text1"/>
          <w14:textFill>
            <w14:solidFill>
              <w14:schemeClr w14:val="tx1"/>
            </w14:solidFill>
          </w14:textFill>
        </w:rPr>
        <w:t>冠心病及肝肾功能不全患者常用药物剂量一览表</w:t>
      </w:r>
      <w:bookmarkEnd w:id="249"/>
      <w:bookmarkEnd w:id="250"/>
      <w:bookmarkEnd w:id="251"/>
      <w:bookmarkEnd w:id="252"/>
    </w:p>
    <w:tbl>
      <w:tblPr>
        <w:tblStyle w:val="26"/>
        <w:tblW w:w="10333" w:type="dxa"/>
        <w:tblInd w:w="-1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027"/>
        <w:gridCol w:w="3565"/>
        <w:gridCol w:w="1218"/>
        <w:gridCol w:w="2423"/>
        <w:gridCol w:w="1529"/>
      </w:tblGrid>
      <w:tr w14:paraId="3450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6ABBBB13">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序号</w:t>
            </w:r>
          </w:p>
        </w:tc>
        <w:tc>
          <w:tcPr>
            <w:tcW w:w="1027" w:type="dxa"/>
            <w:shd w:val="clear" w:color="auto" w:fill="auto"/>
            <w:vAlign w:val="center"/>
          </w:tcPr>
          <w:p w14:paraId="3F04C4F5">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药物名称</w:t>
            </w:r>
          </w:p>
        </w:tc>
        <w:tc>
          <w:tcPr>
            <w:tcW w:w="3565" w:type="dxa"/>
            <w:shd w:val="clear" w:color="auto" w:fill="auto"/>
            <w:vAlign w:val="center"/>
          </w:tcPr>
          <w:p w14:paraId="3504CAEA">
            <w:pPr>
              <w:widowControl/>
              <w:wordWrap w:val="0"/>
              <w:spacing w:line="240" w:lineRule="auto"/>
              <w:ind w:firstLine="0" w:firstLineChars="0"/>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用法用量</w:t>
            </w:r>
          </w:p>
        </w:tc>
        <w:tc>
          <w:tcPr>
            <w:tcW w:w="1218" w:type="dxa"/>
            <w:shd w:val="clear" w:color="auto" w:fill="auto"/>
            <w:vAlign w:val="center"/>
          </w:tcPr>
          <w:p w14:paraId="13E939AB">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肝功能不全</w:t>
            </w:r>
          </w:p>
        </w:tc>
        <w:tc>
          <w:tcPr>
            <w:tcW w:w="2423" w:type="dxa"/>
            <w:shd w:val="clear" w:color="auto" w:fill="auto"/>
            <w:vAlign w:val="center"/>
          </w:tcPr>
          <w:p w14:paraId="7556139C">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肾功能不全</w:t>
            </w:r>
          </w:p>
        </w:tc>
        <w:tc>
          <w:tcPr>
            <w:tcW w:w="1529" w:type="dxa"/>
            <w:shd w:val="clear" w:color="auto" w:fill="auto"/>
            <w:vAlign w:val="center"/>
          </w:tcPr>
          <w:p w14:paraId="023B343F">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依据</w:t>
            </w:r>
          </w:p>
        </w:tc>
      </w:tr>
      <w:tr w14:paraId="7D49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3" w:type="dxa"/>
            <w:gridSpan w:val="6"/>
            <w:vAlign w:val="center"/>
          </w:tcPr>
          <w:p w14:paraId="7E82DC44">
            <w:pPr>
              <w:pStyle w:val="89"/>
              <w:rPr>
                <w:rFonts w:ascii="Times New Roman" w:hAnsi="Times New Roman" w:eastAsia="宋体" w:cs="Times New Roman"/>
                <w:b w:val="0"/>
                <w:bCs w:val="0"/>
                <w:color w:val="000000" w:themeColor="text1"/>
                <w14:textFill>
                  <w14:solidFill>
                    <w14:schemeClr w14:val="tx1"/>
                  </w14:solidFill>
                </w14:textFill>
              </w:rPr>
            </w:pPr>
            <w:r>
              <w:rPr>
                <w:rFonts w:ascii="Times New Roman" w:hAnsi="Times New Roman" w:eastAsia="宋体" w:cs="Times New Roman"/>
                <w:b w:val="0"/>
                <w:bCs w:val="0"/>
                <w:color w:val="000000" w:themeColor="text1"/>
                <w:kern w:val="0"/>
                <w:sz w:val="18"/>
                <w:szCs w:val="18"/>
                <w:lang w:bidi="ar"/>
                <w14:textFill>
                  <w14:solidFill>
                    <w14:schemeClr w14:val="tx1"/>
                  </w14:solidFill>
                </w14:textFill>
              </w:rPr>
              <w:t>抗血小板药物</w:t>
            </w:r>
          </w:p>
        </w:tc>
      </w:tr>
      <w:tr w14:paraId="42B0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76C77A8B">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w:t>
            </w:r>
          </w:p>
        </w:tc>
        <w:tc>
          <w:tcPr>
            <w:tcW w:w="1027" w:type="dxa"/>
            <w:shd w:val="clear" w:color="auto" w:fill="auto"/>
            <w:vAlign w:val="center"/>
          </w:tcPr>
          <w:p w14:paraId="5DB51982">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阿司匹林</w:t>
            </w:r>
          </w:p>
        </w:tc>
        <w:tc>
          <w:tcPr>
            <w:tcW w:w="3565" w:type="dxa"/>
            <w:shd w:val="clear" w:color="auto" w:fill="auto"/>
            <w:vAlign w:val="center"/>
          </w:tcPr>
          <w:p w14:paraId="07A0898A">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1.UA和急性心肌梗死：初始剂量为300 mg，维持剂量为75～100 mg</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b</w:t>
            </w:r>
          </w:p>
          <w:p w14:paraId="34C92988">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2.预防心肌梗死复发：建议每日剂量100～300 mg</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c</w:t>
            </w:r>
          </w:p>
        </w:tc>
        <w:tc>
          <w:tcPr>
            <w:tcW w:w="1218" w:type="dxa"/>
            <w:shd w:val="clear" w:color="auto" w:fill="auto"/>
            <w:vAlign w:val="center"/>
          </w:tcPr>
          <w:p w14:paraId="244B1B4D">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肝功能衰竭患者禁用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70632B17">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CKD 1～3期（eGFR≥30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），负荷量150～300 mg，口服，维持剂量75～100 mg/d；</w:t>
            </w:r>
          </w:p>
          <w:p w14:paraId="2779148F">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CKD 4～5期（eGFR 15～30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），无需剂量调整；</w:t>
            </w:r>
            <w:r>
              <w:rPr>
                <w:rFonts w:ascii="Times New Roman" w:hAnsi="Times New Roman" w:cs="Times New Roman"/>
                <w:color w:val="000000" w:themeColor="text1"/>
                <w:kern w:val="0"/>
                <w:sz w:val="18"/>
                <w:szCs w:val="18"/>
                <w:vertAlign w:val="superscript"/>
                <w:lang w:bidi="ar"/>
                <w14:textFill>
                  <w14:solidFill>
                    <w14:schemeClr w14:val="tx1"/>
                  </w14:solidFill>
                </w14:textFill>
              </w:rPr>
              <w:t>b</w:t>
            </w:r>
          </w:p>
          <w:p w14:paraId="6B166785">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肾功能衰竭患者禁用；肾功能下降的老年患者慎用。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558E54A6">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50523D8B">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b：冠心病合理用药指南（第二版）</w:t>
            </w:r>
          </w:p>
          <w:p w14:paraId="7E0FE425">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c：</w:t>
            </w:r>
            <w:r>
              <w:rPr>
                <w:rFonts w:ascii="Times New Roman" w:hAnsi="Times New Roman" w:cs="Times New Roman"/>
                <w:color w:val="000000" w:themeColor="text1"/>
                <w:kern w:val="0"/>
                <w:sz w:val="18"/>
                <w:szCs w:val="18"/>
                <w:lang w:bidi="ar"/>
                <w14:textFill>
                  <w14:solidFill>
                    <w14:schemeClr w14:val="tx1"/>
                  </w14:solidFill>
                </w14:textFill>
              </w:rPr>
              <w:t>临床用药须知2020</w:t>
            </w:r>
          </w:p>
        </w:tc>
      </w:tr>
      <w:tr w14:paraId="302E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0271D8C8">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w:t>
            </w:r>
          </w:p>
        </w:tc>
        <w:tc>
          <w:tcPr>
            <w:tcW w:w="1027" w:type="dxa"/>
            <w:shd w:val="clear" w:color="auto" w:fill="auto"/>
            <w:vAlign w:val="center"/>
          </w:tcPr>
          <w:p w14:paraId="649612D2">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氯吡格雷</w:t>
            </w:r>
          </w:p>
        </w:tc>
        <w:tc>
          <w:tcPr>
            <w:tcW w:w="3565" w:type="dxa"/>
            <w:shd w:val="clear" w:color="auto" w:fill="auto"/>
            <w:vAlign w:val="center"/>
          </w:tcPr>
          <w:p w14:paraId="6C5CFBE6">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1.预防心梗：推荐日剂量75 mg，每日一次口服。</w:t>
            </w:r>
          </w:p>
          <w:p w14:paraId="46388FD4">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2.对于急性冠脉综合征的患者：</w:t>
            </w:r>
          </w:p>
          <w:p w14:paraId="02F299CD">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（1）NSTE-ACS、UA或非Q波心肌梗死患者：应以单次负荷量氯吡格雷300 mg或600 mg开始给药，然后以75 mg每日1次。年龄</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75岁的患者在拟进行PCI时可以考虑服用600 mg负荷剂量；年龄＞75岁的患者不考虑使用600 mg的负荷剂量。</w:t>
            </w:r>
          </w:p>
          <w:p w14:paraId="30030286">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（2）STEMI患者：接受溶栓治疗患者，应以负荷量300 mg开始，然后75 mg/d，每日一次；对于年龄＞75岁的患者，不推荐使用氯吡格雷负荷剂量。溶栓治疗24</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内行PCI患者，年龄</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75岁的患者，应充分评估出血风险后选择适宜的负荷剂量。</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7E84993B">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有出血倾向的中度肝脏疾病患者慎用；严重肝功能损害患者禁用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3FF77960">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肾功能损害患者慎用；CKD 1～3期（eGFR</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30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），负荷量300～600 mg，口服，维持剂量75 mg/d；</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w:t>
            </w:r>
            <w:r>
              <w:rPr>
                <w:rFonts w:ascii="Times New Roman" w:hAnsi="Times New Roman" w:cs="Times New Roman"/>
                <w:color w:val="000000" w:themeColor="text1"/>
                <w:kern w:val="0"/>
                <w:sz w:val="18"/>
                <w:szCs w:val="18"/>
                <w:lang w:bidi="ar"/>
                <w14:textFill>
                  <w14:solidFill>
                    <w14:schemeClr w14:val="tx1"/>
                  </w14:solidFill>
                </w14:textFill>
              </w:rPr>
              <w:t>CKD 4期（eGFR 15～30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），无需剂量调整。</w:t>
            </w:r>
            <w:r>
              <w:rPr>
                <w:rFonts w:ascii="Times New Roman" w:hAnsi="Times New Roman" w:cs="Times New Roman"/>
                <w:color w:val="000000" w:themeColor="text1"/>
                <w:kern w:val="0"/>
                <w:sz w:val="18"/>
                <w:szCs w:val="18"/>
                <w:vertAlign w:val="superscript"/>
                <w:lang w:bidi="ar"/>
                <w14:textFill>
                  <w14:solidFill>
                    <w14:schemeClr w14:val="tx1"/>
                  </w14:solidFill>
                </w14:textFill>
              </w:rPr>
              <w:t>b</w:t>
            </w:r>
          </w:p>
        </w:tc>
        <w:tc>
          <w:tcPr>
            <w:tcW w:w="1529" w:type="dxa"/>
            <w:shd w:val="clear" w:color="auto" w:fill="auto"/>
            <w:vAlign w:val="center"/>
          </w:tcPr>
          <w:p w14:paraId="13F824FB">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31AF6124">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b：冠心病合理用药指南（第二版）</w:t>
            </w:r>
          </w:p>
        </w:tc>
      </w:tr>
      <w:tr w14:paraId="190F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7E04E9B3">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3</w:t>
            </w:r>
          </w:p>
        </w:tc>
        <w:tc>
          <w:tcPr>
            <w:tcW w:w="1027" w:type="dxa"/>
            <w:shd w:val="clear" w:color="auto" w:fill="auto"/>
            <w:vAlign w:val="center"/>
          </w:tcPr>
          <w:p w14:paraId="1D868160">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替罗非班</w:t>
            </w:r>
          </w:p>
        </w:tc>
        <w:tc>
          <w:tcPr>
            <w:tcW w:w="3565" w:type="dxa"/>
            <w:shd w:val="clear" w:color="auto" w:fill="auto"/>
            <w:vAlign w:val="center"/>
          </w:tcPr>
          <w:p w14:paraId="4C1DF167">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1.NSTE-ACS患者：对于采用早期介入治疗策略且不准备在诊断后4～48</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内进行血管造影患者，首先给予替罗非班0.4 μg/kg/min静脉输注30分钟，继以0.1 μg/kg/min的速率持续静脉输注。</w:t>
            </w:r>
          </w:p>
          <w:p w14:paraId="33C2D8BB">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2.行PCI患者：对于计划在诊断后4</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内进行PCI的NSTE-ACS患者或计划进行直接PCI的STEMI患者，</w:t>
            </w:r>
            <w:r>
              <w:rPr>
                <w:rFonts w:hint="eastAsia" w:ascii="Times New Roman" w:hAnsi="Times New Roman" w:cs="Times New Roman"/>
                <w:color w:val="000000" w:themeColor="text1"/>
                <w:kern w:val="0"/>
                <w:sz w:val="18"/>
                <w:szCs w:val="18"/>
                <w:lang w:bidi="ar"/>
                <w14:textFill>
                  <w14:solidFill>
                    <w14:schemeClr w14:val="tx1"/>
                  </w14:solidFill>
                </w14:textFill>
              </w:rPr>
              <w:t>如若需要，</w:t>
            </w:r>
            <w:r>
              <w:rPr>
                <w:rFonts w:ascii="Times New Roman" w:hAnsi="Times New Roman" w:cs="Times New Roman"/>
                <w:color w:val="000000" w:themeColor="text1"/>
                <w:kern w:val="0"/>
                <w:sz w:val="18"/>
                <w:szCs w:val="18"/>
                <w:lang w:bidi="ar"/>
                <w14:textFill>
                  <w14:solidFill>
                    <w14:schemeClr w14:val="tx1"/>
                  </w14:solidFill>
                </w14:textFill>
              </w:rPr>
              <w:t>应先给予替罗非班25 μg/kg快速静脉推注，在3分钟内完成，继以0.15 μg/kg/min的速率维持静脉滴注12～24</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，最长可达48</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55014F61">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轻中度肝功能不全患者无需调整</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c</w:t>
            </w:r>
          </w:p>
        </w:tc>
        <w:tc>
          <w:tcPr>
            <w:tcW w:w="2423" w:type="dxa"/>
            <w:shd w:val="clear" w:color="auto" w:fill="auto"/>
            <w:vAlign w:val="center"/>
          </w:tcPr>
          <w:p w14:paraId="2E4F2716">
            <w:pPr>
              <w:widowControl/>
              <w:wordWrap w:val="0"/>
              <w:spacing w:line="240" w:lineRule="auto"/>
              <w:ind w:firstLine="0" w:firstLineChars="0"/>
              <w:textAlignment w:val="center"/>
              <w:rPr>
                <w:rFonts w:ascii="Times New Roman" w:hAnsi="Times New Roman" w:cs="Times New Roman"/>
                <w:color w:val="000000" w:themeColor="text1"/>
                <w:kern w:val="0"/>
                <w:sz w:val="18"/>
                <w:szCs w:val="18"/>
                <w:vertAlign w:val="superscript"/>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CKD 1～3期（eGFR</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30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），25 μg/kg静脉注射，伴随0.15 μg/（kg•min）静脉滴注；CKD 4期（eGFR 15～30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），STEMI患者：25 μg/kg静脉注射，伴随0.075 μg/（kg•min）静脉滴注； NSTEMI患者：25 μg/kg静脉注射，伴随0.05 μg/（kg•min）静脉滴注；CKD 5期（eGFR＜15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），不推荐</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b</w:t>
            </w:r>
          </w:p>
        </w:tc>
        <w:tc>
          <w:tcPr>
            <w:tcW w:w="1529" w:type="dxa"/>
            <w:shd w:val="clear" w:color="auto" w:fill="auto"/>
            <w:vAlign w:val="center"/>
          </w:tcPr>
          <w:p w14:paraId="2D9B5195">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p>
          <w:p w14:paraId="3A958BC2">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161F6806">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b：冠心病合理用药指南（第二版）</w:t>
            </w:r>
          </w:p>
          <w:p w14:paraId="4DE659CA">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c：</w:t>
            </w:r>
            <w:r>
              <w:rPr>
                <w:rFonts w:ascii="Times New Roman" w:hAnsi="Times New Roman" w:cs="Times New Roman"/>
                <w:color w:val="000000" w:themeColor="text1"/>
                <w:kern w:val="0"/>
                <w:sz w:val="18"/>
                <w:szCs w:val="18"/>
                <w:lang w:bidi="ar"/>
                <w14:textFill>
                  <w14:solidFill>
                    <w14:schemeClr w14:val="tx1"/>
                  </w14:solidFill>
                </w14:textFill>
              </w:rPr>
              <w:t>临床用药须知2020</w:t>
            </w:r>
          </w:p>
        </w:tc>
      </w:tr>
      <w:tr w14:paraId="1F2F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7F46D342">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4</w:t>
            </w:r>
          </w:p>
        </w:tc>
        <w:tc>
          <w:tcPr>
            <w:tcW w:w="1027" w:type="dxa"/>
            <w:shd w:val="clear" w:color="auto" w:fill="auto"/>
            <w:vAlign w:val="center"/>
          </w:tcPr>
          <w:p w14:paraId="5B237E97">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替格瑞洛</w:t>
            </w:r>
          </w:p>
        </w:tc>
        <w:tc>
          <w:tcPr>
            <w:tcW w:w="3565" w:type="dxa"/>
            <w:shd w:val="clear" w:color="auto" w:fill="auto"/>
            <w:vAlign w:val="center"/>
          </w:tcPr>
          <w:p w14:paraId="7BBC4B2E">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1.ACS患者：负荷剂量180 mg，维持剂量90 mg/次，每日2次</w:t>
            </w:r>
            <w:r>
              <w:rPr>
                <w:rFonts w:hint="eastAsia" w:ascii="Times New Roman" w:hAnsi="Times New Roman" w:cs="Times New Roman"/>
                <w:color w:val="000000" w:themeColor="text1"/>
                <w:kern w:val="0"/>
                <w:sz w:val="18"/>
                <w:szCs w:val="18"/>
                <w:lang w:bidi="ar"/>
                <w14:textFill>
                  <w14:solidFill>
                    <w14:schemeClr w14:val="tx1"/>
                  </w14:solidFill>
                </w14:textFill>
              </w:rPr>
              <w:t>。</w:t>
            </w:r>
          </w:p>
          <w:p w14:paraId="019D2C3C">
            <w:pPr>
              <w:wordWrap w:val="0"/>
              <w:spacing w:line="240" w:lineRule="auto"/>
              <w:ind w:firstLine="0" w:firstLineChars="0"/>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2.高危心肌梗死1年后的患者：60 mg/次，每日2次。</w:t>
            </w:r>
            <w:r>
              <w:rPr>
                <w:rFonts w:ascii="Times New Roman" w:hAnsi="Times New Roman" w:cs="Times New Roman"/>
                <w:color w:val="000000" w:themeColor="text1"/>
                <w:kern w:val="0"/>
                <w:sz w:val="18"/>
                <w:szCs w:val="18"/>
                <w:vertAlign w:val="superscript"/>
                <w:lang w:bidi="ar"/>
                <w14:textFill>
                  <w14:solidFill>
                    <w14:schemeClr w14:val="tx1"/>
                  </w14:solidFill>
                </w14:textFill>
              </w:rPr>
              <w:t>b</w:t>
            </w:r>
          </w:p>
        </w:tc>
        <w:tc>
          <w:tcPr>
            <w:tcW w:w="1218" w:type="dxa"/>
            <w:shd w:val="clear" w:color="auto" w:fill="auto"/>
            <w:vAlign w:val="center"/>
          </w:tcPr>
          <w:p w14:paraId="05B6AB7A">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轻度肝功能损害无需调整，中度肝功能损害慎用，重度肝功能损害禁用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4BDD2B35">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CKD 1～3期（eGFR</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30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）：负荷量180 mg，口服，维持剂量90 mg/d，每日2次；CKD 4期（eGFR 15～30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）：不需调整；CKD 5期（eGFR＜15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）：不推荐，肾透析患者不推荐应用。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b</w:t>
            </w:r>
          </w:p>
        </w:tc>
        <w:tc>
          <w:tcPr>
            <w:tcW w:w="1529" w:type="dxa"/>
            <w:shd w:val="clear" w:color="auto" w:fill="auto"/>
            <w:vAlign w:val="center"/>
          </w:tcPr>
          <w:p w14:paraId="7ECF64F4">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7560D747">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b：冠心病合理用药指南（第二版）</w:t>
            </w:r>
          </w:p>
        </w:tc>
      </w:tr>
      <w:tr w14:paraId="197D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3" w:type="dxa"/>
            <w:gridSpan w:val="6"/>
          </w:tcPr>
          <w:p w14:paraId="05409414">
            <w:pPr>
              <w:pStyle w:val="89"/>
              <w:rPr>
                <w:rFonts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bidi="ar"/>
                <w14:textFill>
                  <w14:solidFill>
                    <w14:schemeClr w14:val="tx1"/>
                  </w14:solidFill>
                </w14:textFill>
              </w:rPr>
              <w:t>他汀类药物</w:t>
            </w:r>
          </w:p>
        </w:tc>
      </w:tr>
      <w:tr w14:paraId="5D33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7CA8CF8C">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w:t>
            </w:r>
          </w:p>
        </w:tc>
        <w:tc>
          <w:tcPr>
            <w:tcW w:w="1027" w:type="dxa"/>
            <w:shd w:val="clear" w:color="auto" w:fill="auto"/>
            <w:vAlign w:val="center"/>
          </w:tcPr>
          <w:p w14:paraId="732F21D8">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瑞舒伐他汀</w:t>
            </w:r>
          </w:p>
        </w:tc>
        <w:tc>
          <w:tcPr>
            <w:tcW w:w="3565" w:type="dxa"/>
            <w:shd w:val="clear" w:color="auto" w:fill="auto"/>
            <w:vAlign w:val="center"/>
          </w:tcPr>
          <w:p w14:paraId="72326290">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常用初始剂量为5 mg，每日1次。最大剂量为20 mg；剂量应根据基础LDL-C水平进行个体化调整，调整剂量应间隔4周或以上。</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11FC1B56">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禁用于活动性肝病的患者,包括原因不明的血清氨基转移酶持续升高和任何血清氨基转移酶升高超过3倍的正常值上限（ULN）的患者</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0FB170D0">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轻中度肾功能不全无需调整，CKD 3～5期剂量减半；严重的肾功能损害的患者（CrCl＜30 ml/min）禁用。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25418261">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30B1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1AE25635">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6</w:t>
            </w:r>
          </w:p>
        </w:tc>
        <w:tc>
          <w:tcPr>
            <w:tcW w:w="1027" w:type="dxa"/>
            <w:shd w:val="clear" w:color="auto" w:fill="auto"/>
            <w:vAlign w:val="center"/>
          </w:tcPr>
          <w:p w14:paraId="7811E486">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阿托伐他汀</w:t>
            </w:r>
          </w:p>
        </w:tc>
        <w:tc>
          <w:tcPr>
            <w:tcW w:w="3565" w:type="dxa"/>
            <w:shd w:val="clear" w:color="auto" w:fill="auto"/>
            <w:vAlign w:val="center"/>
          </w:tcPr>
          <w:p w14:paraId="6178EE80">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推荐初始剂量为10 mg，每晚1次，最大剂量为80 mg。剂量应根据基础LDL-C水平进行个体化调整，调整剂量应间隔4周或以上。</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77628E39">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慎用于过量饮酒和曾患有肝脏疾病患者；</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w:t>
            </w:r>
            <w:r>
              <w:rPr>
                <w:rFonts w:ascii="Times New Roman" w:hAnsi="Times New Roman" w:cs="Times New Roman"/>
                <w:color w:val="000000" w:themeColor="text1"/>
                <w:kern w:val="0"/>
                <w:sz w:val="18"/>
                <w:szCs w:val="18"/>
                <w:lang w:bidi="ar"/>
                <w14:textFill>
                  <w14:solidFill>
                    <w14:schemeClr w14:val="tx1"/>
                  </w14:solidFill>
                </w14:textFill>
              </w:rPr>
              <w:t>活动性肝病或原因不明的AST和ALT持续升高禁用本品。</w:t>
            </w:r>
            <w:r>
              <w:rPr>
                <w:rFonts w:ascii="Times New Roman" w:hAnsi="Times New Roman" w:cs="Times New Roman"/>
                <w:color w:val="000000" w:themeColor="text1"/>
                <w:kern w:val="0"/>
                <w:sz w:val="18"/>
                <w:szCs w:val="18"/>
                <w:vertAlign w:val="superscript"/>
                <w:lang w:bidi="ar"/>
                <w14:textFill>
                  <w14:solidFill>
                    <w14:schemeClr w14:val="tx1"/>
                  </w14:solidFill>
                </w14:textFill>
              </w:rPr>
              <w:t>b</w:t>
            </w:r>
          </w:p>
        </w:tc>
        <w:tc>
          <w:tcPr>
            <w:tcW w:w="2423" w:type="dxa"/>
            <w:shd w:val="clear" w:color="auto" w:fill="auto"/>
            <w:vAlign w:val="center"/>
          </w:tcPr>
          <w:p w14:paraId="1AF705DD">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肾功能不全患者无需调整</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11A8AB28">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0EBAD608">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b：冠心病合理用药指南（第二版）</w:t>
            </w:r>
          </w:p>
        </w:tc>
      </w:tr>
      <w:tr w14:paraId="5C8C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29BCD81F">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7</w:t>
            </w:r>
          </w:p>
        </w:tc>
        <w:tc>
          <w:tcPr>
            <w:tcW w:w="1027" w:type="dxa"/>
            <w:shd w:val="clear" w:color="auto" w:fill="auto"/>
            <w:vAlign w:val="center"/>
          </w:tcPr>
          <w:p w14:paraId="4CBBDE39">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辛伐他汀</w:t>
            </w:r>
          </w:p>
        </w:tc>
        <w:tc>
          <w:tcPr>
            <w:tcW w:w="3565" w:type="dxa"/>
            <w:shd w:val="clear" w:color="auto" w:fill="auto"/>
            <w:vAlign w:val="center"/>
          </w:tcPr>
          <w:p w14:paraId="5E491D0D">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初始剂量为每天10或20 mg，每晚1次。对于胆固醇水平轻至中度升高的患者，初始剂量为每天5 mg，若需调整剂量则应间隔4周以上，最大剂量为每天40 mg 。剂量应根据基础LDL-C水平进行个体化调整，调整剂量应间隔4周或以上。</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35EC6E97">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慎用于大量饮酒或既往肝脏病史的患者；</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w:t>
            </w:r>
            <w:r>
              <w:rPr>
                <w:rFonts w:ascii="Times New Roman" w:hAnsi="Times New Roman" w:cs="Times New Roman"/>
                <w:color w:val="000000" w:themeColor="text1"/>
                <w:kern w:val="0"/>
                <w:sz w:val="18"/>
                <w:szCs w:val="18"/>
                <w:lang w:bidi="ar"/>
                <w14:textFill>
                  <w14:solidFill>
                    <w14:schemeClr w14:val="tx1"/>
                  </w14:solidFill>
                </w14:textFill>
              </w:rPr>
              <w:t>活动性肝脏疾病或无法解释的AST持续升高者禁用。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4A5B5BCA">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轻中度无需调整剂量；CKD 3～5期剂量减半；重度（CrCl＜30 ml/min），推荐从5 mg/d开始滴定，使用剂量超过每天10 mg时，应慎用，并密切监测肾功能。</w:t>
            </w:r>
            <w:r>
              <w:rPr>
                <w:rFonts w:ascii="Times New Roman" w:hAnsi="Times New Roman" w:cs="Times New Roman"/>
                <w:color w:val="000000" w:themeColor="text1"/>
                <w:kern w:val="0"/>
                <w:sz w:val="18"/>
                <w:szCs w:val="18"/>
                <w:vertAlign w:val="superscript"/>
                <w:lang w:bidi="ar"/>
                <w14:textFill>
                  <w14:solidFill>
                    <w14:schemeClr w14:val="tx1"/>
                  </w14:solidFill>
                </w14:textFill>
              </w:rPr>
              <w:t>b</w:t>
            </w:r>
          </w:p>
        </w:tc>
        <w:tc>
          <w:tcPr>
            <w:tcW w:w="1529" w:type="dxa"/>
            <w:shd w:val="clear" w:color="auto" w:fill="auto"/>
            <w:vAlign w:val="center"/>
          </w:tcPr>
          <w:p w14:paraId="2DDD326B">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19E40B24">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b：冠心病合理用药指南（第二版）</w:t>
            </w:r>
          </w:p>
        </w:tc>
      </w:tr>
      <w:tr w14:paraId="68B7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05483612">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8</w:t>
            </w:r>
          </w:p>
        </w:tc>
        <w:tc>
          <w:tcPr>
            <w:tcW w:w="1027" w:type="dxa"/>
            <w:shd w:val="clear" w:color="auto" w:fill="auto"/>
            <w:vAlign w:val="center"/>
          </w:tcPr>
          <w:p w14:paraId="3E4F16E6">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普伐他汀</w:t>
            </w:r>
          </w:p>
        </w:tc>
        <w:tc>
          <w:tcPr>
            <w:tcW w:w="3565" w:type="dxa"/>
            <w:shd w:val="clear" w:color="auto" w:fill="auto"/>
            <w:vAlign w:val="center"/>
          </w:tcPr>
          <w:p w14:paraId="7B2E3E88">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推荐初始剂量为10～20 mg，每晚1次，最大剂量为40 mg，剂量应根据基础LDL-C水平进行个体化调整，调整剂量应间隔4周或以上。</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3821E476">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严重肝损害或既往史患者慎用；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w:t>
            </w:r>
            <w:r>
              <w:rPr>
                <w:rFonts w:ascii="Times New Roman" w:hAnsi="Times New Roman" w:cs="Times New Roman"/>
                <w:color w:val="000000" w:themeColor="text1"/>
                <w:kern w:val="0"/>
                <w:sz w:val="18"/>
                <w:szCs w:val="18"/>
                <w:lang w:bidi="ar"/>
                <w14:textFill>
                  <w14:solidFill>
                    <w14:schemeClr w14:val="tx1"/>
                  </w14:solidFill>
                </w14:textFill>
              </w:rPr>
              <w:t>活动性肝炎或肝功能试验持续升高者禁用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c</w:t>
            </w:r>
          </w:p>
        </w:tc>
        <w:tc>
          <w:tcPr>
            <w:tcW w:w="2423" w:type="dxa"/>
            <w:shd w:val="clear" w:color="auto" w:fill="auto"/>
            <w:vAlign w:val="center"/>
          </w:tcPr>
          <w:p w14:paraId="074662DB">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CKD 3～5期剂量减半；</w:t>
            </w:r>
            <w:r>
              <w:rPr>
                <w:rFonts w:ascii="Times New Roman" w:hAnsi="Times New Roman" w:cs="Times New Roman"/>
                <w:color w:val="000000" w:themeColor="text1"/>
                <w:kern w:val="0"/>
                <w:sz w:val="18"/>
                <w:szCs w:val="18"/>
                <w:vertAlign w:val="superscript"/>
                <w:lang w:bidi="ar"/>
                <w14:textFill>
                  <w14:solidFill>
                    <w14:schemeClr w14:val="tx1"/>
                  </w14:solidFill>
                </w14:textFill>
              </w:rPr>
              <w:t>b</w:t>
            </w:r>
            <w:r>
              <w:rPr>
                <w:rFonts w:ascii="Times New Roman" w:hAnsi="Times New Roman" w:cs="Times New Roman"/>
                <w:color w:val="000000" w:themeColor="text1"/>
                <w:kern w:val="0"/>
                <w:sz w:val="18"/>
                <w:szCs w:val="18"/>
                <w:lang w:bidi="ar"/>
                <w14:textFill>
                  <w14:solidFill>
                    <w14:schemeClr w14:val="tx1"/>
                  </w14:solidFill>
                </w14:textFill>
              </w:rPr>
              <w:t>严重肾功能损害或既往史患者慎用。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324B12D2">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051DE307">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b：冠心病合理用药指南（第二版）</w:t>
            </w:r>
          </w:p>
          <w:p w14:paraId="669B23C3">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c：</w:t>
            </w:r>
            <w:r>
              <w:rPr>
                <w:rFonts w:ascii="Times New Roman" w:hAnsi="Times New Roman" w:cs="Times New Roman"/>
                <w:color w:val="000000" w:themeColor="text1"/>
                <w:kern w:val="0"/>
                <w:sz w:val="18"/>
                <w:szCs w:val="18"/>
                <w:lang w:bidi="ar"/>
                <w14:textFill>
                  <w14:solidFill>
                    <w14:schemeClr w14:val="tx1"/>
                  </w14:solidFill>
                </w14:textFill>
              </w:rPr>
              <w:t>临床用药须知2020</w:t>
            </w:r>
          </w:p>
        </w:tc>
      </w:tr>
      <w:tr w14:paraId="392F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6E5C22E6">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9</w:t>
            </w:r>
          </w:p>
        </w:tc>
        <w:tc>
          <w:tcPr>
            <w:tcW w:w="1027" w:type="dxa"/>
            <w:shd w:val="clear" w:color="auto" w:fill="auto"/>
            <w:vAlign w:val="center"/>
          </w:tcPr>
          <w:p w14:paraId="5FB3B296">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匹伐他汀</w:t>
            </w:r>
          </w:p>
        </w:tc>
        <w:tc>
          <w:tcPr>
            <w:tcW w:w="3565" w:type="dxa"/>
            <w:shd w:val="clear" w:color="auto" w:fill="auto"/>
            <w:vAlign w:val="center"/>
          </w:tcPr>
          <w:p w14:paraId="0BD70707">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1～2 mg，每晚1次，最大剂量4 mg/d。</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5335458C">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肝病患者给药时，初始给药量为每日1 mg，最大给药量为每日2 mg。肝病患者或既往史的患者慎用，重症肝病患者禁用。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3DB9F9EE">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中度</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eGFR 30～59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和重度肾功能不全（eGFR</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w:t>
            </w:r>
            <w:r>
              <w:rPr>
                <w:rFonts w:ascii="Times New Roman" w:hAnsi="Times New Roman" w:cs="Times New Roman"/>
                <w:color w:val="000000" w:themeColor="text1"/>
                <w:kern w:val="0"/>
                <w:sz w:val="18"/>
                <w:szCs w:val="18"/>
                <w:lang w:bidi="ar"/>
                <w14:textFill>
                  <w14:solidFill>
                    <w14:schemeClr w14:val="tx1"/>
                  </w14:solidFill>
                </w14:textFill>
              </w:rPr>
              <w:t>15～29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不接受血液透析的）以及接受血液透析的终未期肾脏疾病的患者给药时，初始给药量为一日1次，每次1 mg，最大给药量为一日1次，每次2 mg。肾病患者或有既往史的患者慎用。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22B5F2C9">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0AA9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774826D7">
            <w:pPr>
              <w:widowControl/>
              <w:wordWrap w:val="0"/>
              <w:spacing w:line="240" w:lineRule="auto"/>
              <w:ind w:firstLine="0" w:firstLineChars="0"/>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10</w:t>
            </w:r>
          </w:p>
        </w:tc>
        <w:tc>
          <w:tcPr>
            <w:tcW w:w="1027" w:type="dxa"/>
            <w:shd w:val="clear" w:color="auto" w:fill="auto"/>
            <w:vAlign w:val="center"/>
          </w:tcPr>
          <w:p w14:paraId="26070077">
            <w:pPr>
              <w:widowControl/>
              <w:wordWrap w:val="0"/>
              <w:spacing w:line="240" w:lineRule="auto"/>
              <w:ind w:firstLine="0" w:firstLineChars="0"/>
              <w:textAlignment w:val="center"/>
              <w:rPr>
                <w:rFonts w:ascii="Times New Roman" w:hAnsi="Times New Roman" w:cs="Times New Roman"/>
                <w:color w:val="000000" w:themeColor="text1"/>
                <w:sz w:val="18"/>
                <w:szCs w:val="18"/>
                <w:lang w:bidi="ar"/>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氟伐他汀</w:t>
            </w:r>
          </w:p>
        </w:tc>
        <w:tc>
          <w:tcPr>
            <w:tcW w:w="3565" w:type="dxa"/>
            <w:shd w:val="clear" w:color="auto" w:fill="auto"/>
            <w:vAlign w:val="center"/>
          </w:tcPr>
          <w:p w14:paraId="75A9A088">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起始剂量为20 mg或40 mg常释胶囊，每日一次。可以根据患者治疗效果和推荐需达到的治疗目标调整剂量。对于严重的高胆固醇血症或者40 mg 常释胶囊治疗效果不满意的患者，可以使用氟伐他汀钠缓释片80 mg/天。推荐的每日最大剂量为80 mg。</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0780704E">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慎用于有肝脏疾病或大量饮酒的患者；</w:t>
            </w:r>
            <w:r>
              <w:rPr>
                <w:rFonts w:ascii="Times New Roman" w:hAnsi="Times New Roman" w:cs="Times New Roman"/>
                <w:color w:val="000000" w:themeColor="text1"/>
                <w:kern w:val="0"/>
                <w:sz w:val="18"/>
                <w:szCs w:val="18"/>
                <w:lang w:bidi="ar"/>
                <w14:textFill>
                  <w14:solidFill>
                    <w14:schemeClr w14:val="tx1"/>
                  </w14:solidFill>
                </w14:textFill>
              </w:rPr>
              <w:t>活动性肝脏疾病或无法解释的AST持续升高者禁用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65610D37">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轻中度肾功能不全无需调整</w:t>
            </w:r>
            <w:r>
              <w:rPr>
                <w:rFonts w:hint="eastAsia" w:ascii="Times New Roman" w:hAnsi="Times New Roman" w:cs="Times New Roman"/>
                <w:color w:val="000000" w:themeColor="text1"/>
                <w:kern w:val="0"/>
                <w:sz w:val="18"/>
                <w:szCs w:val="18"/>
                <w:lang w:bidi="ar"/>
                <w14:textFill>
                  <w14:solidFill>
                    <w14:schemeClr w14:val="tx1"/>
                  </w14:solidFill>
                </w14:textFill>
              </w:rPr>
              <w:t>，严重肾功能不全禁用。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5744EF9D">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0E44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3" w:type="dxa"/>
            <w:gridSpan w:val="6"/>
          </w:tcPr>
          <w:p w14:paraId="1AC18CD2">
            <w:pPr>
              <w:pStyle w:val="89"/>
              <w:rPr>
                <w:rFonts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bidi="ar"/>
                <w14:textFill>
                  <w14:solidFill>
                    <w14:schemeClr w14:val="tx1"/>
                  </w14:solidFill>
                </w14:textFill>
              </w:rPr>
              <w:t>PCSK9抑制剂药物</w:t>
            </w:r>
          </w:p>
        </w:tc>
      </w:tr>
      <w:tr w14:paraId="0434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67010CCC">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11</w:t>
            </w:r>
          </w:p>
        </w:tc>
        <w:tc>
          <w:tcPr>
            <w:tcW w:w="1027" w:type="dxa"/>
            <w:shd w:val="clear" w:color="auto" w:fill="auto"/>
            <w:vAlign w:val="center"/>
          </w:tcPr>
          <w:p w14:paraId="2E54E9F8">
            <w:pPr>
              <w:widowControl/>
              <w:wordWrap w:val="0"/>
              <w:spacing w:line="240" w:lineRule="auto"/>
              <w:ind w:firstLine="0" w:firstLineChars="0"/>
              <w:textAlignment w:val="center"/>
              <w:rPr>
                <w:rFonts w:ascii="Times New Roman" w:hAnsi="Times New Roman" w:cs="Times New Roman"/>
                <w:color w:val="000000" w:themeColor="text1"/>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依洛尤单抗</w:t>
            </w:r>
          </w:p>
        </w:tc>
        <w:tc>
          <w:tcPr>
            <w:tcW w:w="3565" w:type="dxa"/>
            <w:shd w:val="clear" w:color="auto" w:fill="auto"/>
            <w:vAlign w:val="center"/>
          </w:tcPr>
          <w:p w14:paraId="0AA08C3D">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推荐皮下给药剂量为140 mg每两周1次或420 mg每月1次。</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4C30BC07">
            <w:pPr>
              <w:widowControl/>
              <w:wordWrap w:val="0"/>
              <w:spacing w:line="240" w:lineRule="auto"/>
              <w:ind w:firstLine="0" w:firstLineChars="0"/>
              <w:jc w:val="left"/>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轻度至中度肝功能不全患者无须调整剂量。尚无严重肝功能不全患者使用的数据。</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04AA3768">
            <w:pPr>
              <w:widowControl/>
              <w:wordWrap w:val="0"/>
              <w:spacing w:line="240" w:lineRule="auto"/>
              <w:ind w:firstLine="0" w:firstLineChars="0"/>
              <w:jc w:val="left"/>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肾功能不全的患者无须调整剂量。</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111C429D">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2B5F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609BC519">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12</w:t>
            </w:r>
          </w:p>
        </w:tc>
        <w:tc>
          <w:tcPr>
            <w:tcW w:w="1027" w:type="dxa"/>
            <w:shd w:val="clear" w:color="auto" w:fill="auto"/>
            <w:vAlign w:val="center"/>
          </w:tcPr>
          <w:p w14:paraId="52E53C6D">
            <w:pPr>
              <w:widowControl/>
              <w:wordWrap w:val="0"/>
              <w:spacing w:line="240" w:lineRule="auto"/>
              <w:ind w:firstLine="0" w:firstLineChars="0"/>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阿利西尤单抗</w:t>
            </w:r>
          </w:p>
        </w:tc>
        <w:tc>
          <w:tcPr>
            <w:tcW w:w="3565" w:type="dxa"/>
            <w:shd w:val="clear" w:color="auto" w:fill="auto"/>
            <w:vAlign w:val="center"/>
          </w:tcPr>
          <w:p w14:paraId="3F4C1477">
            <w:pPr>
              <w:widowControl/>
              <w:wordWrap w:val="0"/>
              <w:spacing w:line="240" w:lineRule="auto"/>
              <w:ind w:firstLine="0" w:firstLineChars="0"/>
              <w:jc w:val="left"/>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本品的常规起始剂量为75 mg，皮下注射，每2周一次。若患者需要更大幅度降低LDL-C，可以150 mg起始给药，皮下注射每2周一次。</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64B9DE2A">
            <w:pPr>
              <w:widowControl/>
              <w:wordWrap w:val="0"/>
              <w:spacing w:line="240" w:lineRule="auto"/>
              <w:ind w:firstLine="0" w:firstLineChars="0"/>
              <w:jc w:val="left"/>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轻度或中度肝功能损害患者无需调整剂量。无重度肝功能损害患者中的相关数据。</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498CCF4B">
            <w:pPr>
              <w:widowControl/>
              <w:wordWrap w:val="0"/>
              <w:spacing w:line="240" w:lineRule="auto"/>
              <w:ind w:firstLine="0" w:firstLineChars="0"/>
              <w:jc w:val="left"/>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轻度或中度肾功能损害患者无需调整剂量。重度肾功能损害患者的可用数据有限。</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39F94883">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265C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0EE54672">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13</w:t>
            </w:r>
          </w:p>
        </w:tc>
        <w:tc>
          <w:tcPr>
            <w:tcW w:w="1027" w:type="dxa"/>
            <w:shd w:val="clear" w:color="auto" w:fill="auto"/>
            <w:vAlign w:val="center"/>
          </w:tcPr>
          <w:p w14:paraId="0CCC49C6">
            <w:pPr>
              <w:widowControl/>
              <w:wordWrap w:val="0"/>
              <w:spacing w:line="240" w:lineRule="auto"/>
              <w:ind w:firstLine="0" w:firstLineChars="0"/>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托莱西单抗</w:t>
            </w:r>
          </w:p>
        </w:tc>
        <w:tc>
          <w:tcPr>
            <w:tcW w:w="3565" w:type="dxa"/>
            <w:shd w:val="clear" w:color="auto" w:fill="auto"/>
            <w:vAlign w:val="center"/>
          </w:tcPr>
          <w:p w14:paraId="1436F9EA">
            <w:pPr>
              <w:widowControl/>
              <w:wordWrap w:val="0"/>
              <w:spacing w:line="240" w:lineRule="auto"/>
              <w:ind w:firstLine="0" w:firstLineChars="0"/>
              <w:jc w:val="left"/>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推荐剂量为150 mg，每2周一次450 mg，每4周一次；或600 mg，每6周一次。</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1C1E3657">
            <w:pPr>
              <w:widowControl/>
              <w:wordWrap w:val="0"/>
              <w:spacing w:line="240" w:lineRule="auto"/>
              <w:ind w:firstLine="0" w:firstLineChars="0"/>
              <w:jc w:val="left"/>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轻度或中度肝功能不全患者无需进行剂量调整。尚无在重度肝功能不全患者中的数据。</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4E176126">
            <w:pPr>
              <w:widowControl/>
              <w:wordWrap w:val="0"/>
              <w:spacing w:line="240" w:lineRule="auto"/>
              <w:ind w:firstLine="0" w:firstLineChars="0"/>
              <w:jc w:val="left"/>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轻度或中度肾功能不全患者无需进行剂量调整。尚无重度肾功能不全患者的数据。</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71F6DBD3">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62F6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353ECB96">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14</w:t>
            </w:r>
          </w:p>
        </w:tc>
        <w:tc>
          <w:tcPr>
            <w:tcW w:w="1027" w:type="dxa"/>
            <w:shd w:val="clear" w:color="auto" w:fill="auto"/>
            <w:vAlign w:val="center"/>
          </w:tcPr>
          <w:p w14:paraId="45150279">
            <w:pPr>
              <w:widowControl/>
              <w:wordWrap w:val="0"/>
              <w:spacing w:line="240" w:lineRule="auto"/>
              <w:ind w:firstLine="0" w:firstLineChars="0"/>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伊努西单抗</w:t>
            </w:r>
          </w:p>
        </w:tc>
        <w:tc>
          <w:tcPr>
            <w:tcW w:w="3565" w:type="dxa"/>
            <w:shd w:val="clear" w:color="auto" w:fill="auto"/>
            <w:vAlign w:val="center"/>
          </w:tcPr>
          <w:p w14:paraId="520CB2A6">
            <w:pPr>
              <w:widowControl/>
              <w:wordWrap w:val="0"/>
              <w:spacing w:line="240" w:lineRule="auto"/>
              <w:ind w:firstLine="0" w:firstLineChars="0"/>
              <w:jc w:val="left"/>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推荐剂量为150 mg，每2周一次；450 mg，每4周一次。</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4C2E6A36">
            <w:pPr>
              <w:widowControl/>
              <w:wordWrap w:val="0"/>
              <w:spacing w:line="240" w:lineRule="auto"/>
              <w:ind w:firstLine="0" w:firstLineChars="0"/>
              <w:jc w:val="left"/>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轻度或中度肝功能损伤患者无需调整剂量，尚无重度肝功能损伤患者的研究数据。</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2BAD86A4">
            <w:pPr>
              <w:widowControl/>
              <w:wordWrap w:val="0"/>
              <w:spacing w:line="240" w:lineRule="auto"/>
              <w:ind w:firstLine="0" w:firstLineChars="0"/>
              <w:jc w:val="left"/>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轻度或中度肾功能损伤患者无需调整剂量，尚无重度肾功能损伤患者的研究数据。</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3B130012">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74F0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248318CC">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15</w:t>
            </w:r>
          </w:p>
        </w:tc>
        <w:tc>
          <w:tcPr>
            <w:tcW w:w="1027" w:type="dxa"/>
            <w:shd w:val="clear" w:color="auto" w:fill="auto"/>
            <w:vAlign w:val="center"/>
          </w:tcPr>
          <w:p w14:paraId="545B02AE">
            <w:pPr>
              <w:widowControl/>
              <w:wordWrap w:val="0"/>
              <w:spacing w:line="240" w:lineRule="auto"/>
              <w:ind w:firstLine="0" w:firstLineChars="0"/>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瑞卡西单抗</w:t>
            </w:r>
          </w:p>
        </w:tc>
        <w:tc>
          <w:tcPr>
            <w:tcW w:w="3565" w:type="dxa"/>
            <w:shd w:val="clear" w:color="auto" w:fill="auto"/>
            <w:vAlign w:val="center"/>
          </w:tcPr>
          <w:p w14:paraId="4282AC5F">
            <w:pPr>
              <w:widowControl/>
              <w:wordWrap w:val="0"/>
              <w:spacing w:line="240" w:lineRule="auto"/>
              <w:ind w:firstLine="0" w:firstLineChars="0"/>
              <w:jc w:val="left"/>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非家族性高胆固醇血症和混合型高脂血症，推荐剂量为150 mg每4周1次、或300 mg每8周1次。杂合子型家族性高胆固醇血症(HeFH)患者:本品的推荐剂量为150 mg每4周1次。</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2A1B8637">
            <w:pPr>
              <w:widowControl/>
              <w:wordWrap w:val="0"/>
              <w:spacing w:line="240" w:lineRule="auto"/>
              <w:ind w:firstLine="0" w:firstLineChars="0"/>
              <w:jc w:val="left"/>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轻度或中度肝功能不全患者无需调整剂量。尚无在重度肝功能不全患者中的数据。</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7CF8AD51">
            <w:pPr>
              <w:widowControl/>
              <w:wordWrap w:val="0"/>
              <w:spacing w:line="240" w:lineRule="auto"/>
              <w:ind w:firstLine="0" w:firstLineChars="0"/>
              <w:jc w:val="left"/>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轻度或中度肾功能不全患者无需调整剂量。尚无重度肾功能不全患者的研究数据。</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6B1DE540">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091B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3" w:type="dxa"/>
            <w:gridSpan w:val="6"/>
            <w:vAlign w:val="center"/>
          </w:tcPr>
          <w:p w14:paraId="4F339658">
            <w:pPr>
              <w:pStyle w:val="89"/>
              <w:rPr>
                <w:rFonts w:ascii="Times New Roman" w:hAnsi="Times New Roman" w:eastAsia="宋体" w:cs="Times New Roman"/>
                <w:b w:val="0"/>
                <w:bCs w:val="0"/>
                <w:color w:val="000000" w:themeColor="text1"/>
                <w14:textFill>
                  <w14:solidFill>
                    <w14:schemeClr w14:val="tx1"/>
                  </w14:solidFill>
                </w14:textFill>
              </w:rPr>
            </w:pPr>
            <w:r>
              <w:rPr>
                <w:rFonts w:ascii="Times New Roman" w:hAnsi="Times New Roman" w:eastAsia="宋体" w:cs="Times New Roman"/>
                <w:b w:val="0"/>
                <w:bCs w:val="0"/>
                <w:color w:val="000000" w:themeColor="text1"/>
                <w:kern w:val="0"/>
                <w:sz w:val="18"/>
                <w:szCs w:val="18"/>
                <w:lang w:bidi="ar"/>
                <w14:textFill>
                  <w14:solidFill>
                    <w14:schemeClr w14:val="tx1"/>
                  </w14:solidFill>
                </w14:textFill>
              </w:rPr>
              <w:t>硝酸酯类药物</w:t>
            </w:r>
          </w:p>
        </w:tc>
      </w:tr>
      <w:tr w14:paraId="2081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7EA373F9">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w:t>
            </w:r>
            <w:r>
              <w:rPr>
                <w:rFonts w:hint="eastAsia" w:ascii="Times New Roman" w:hAnsi="Times New Roman" w:cs="Times New Roman"/>
                <w:color w:val="000000" w:themeColor="text1"/>
                <w:sz w:val="18"/>
                <w:szCs w:val="18"/>
                <w14:textFill>
                  <w14:solidFill>
                    <w14:schemeClr w14:val="tx1"/>
                  </w14:solidFill>
                </w14:textFill>
              </w:rPr>
              <w:t>6</w:t>
            </w:r>
          </w:p>
        </w:tc>
        <w:tc>
          <w:tcPr>
            <w:tcW w:w="1027" w:type="dxa"/>
            <w:shd w:val="clear" w:color="auto" w:fill="auto"/>
            <w:vAlign w:val="center"/>
          </w:tcPr>
          <w:p w14:paraId="5FA518B5">
            <w:pPr>
              <w:widowControl/>
              <w:wordWrap w:val="0"/>
              <w:spacing w:line="240" w:lineRule="auto"/>
              <w:ind w:firstLine="0" w:firstLineChars="0"/>
              <w:textAlignment w:val="center"/>
              <w:rPr>
                <w:rFonts w:ascii="Times New Roman" w:hAnsi="Times New Roman" w:cs="Times New Roman"/>
                <w:color w:val="000000" w:themeColor="text1"/>
                <w:sz w:val="18"/>
                <w:szCs w:val="18"/>
                <w:highlight w:val="yellow"/>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硝酸甘油</w:t>
            </w:r>
          </w:p>
        </w:tc>
        <w:tc>
          <w:tcPr>
            <w:tcW w:w="3565" w:type="dxa"/>
            <w:shd w:val="clear" w:color="auto" w:fill="auto"/>
            <w:vAlign w:val="center"/>
          </w:tcPr>
          <w:p w14:paraId="5BB1BE54">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1.舌下含服0.</w:t>
            </w:r>
            <w:r>
              <w:rPr>
                <w:rFonts w:hint="eastAsia" w:ascii="Times New Roman" w:hAnsi="Times New Roman" w:cs="Times New Roman"/>
                <w:color w:val="000000" w:themeColor="text1"/>
                <w:kern w:val="0"/>
                <w:sz w:val="18"/>
                <w:szCs w:val="18"/>
                <w:lang w:bidi="ar"/>
                <w14:textFill>
                  <w14:solidFill>
                    <w14:schemeClr w14:val="tx1"/>
                  </w14:solidFill>
                </w14:textFill>
              </w:rPr>
              <w:t>25</w:t>
            </w:r>
            <w:r>
              <w:rPr>
                <w:rFonts w:ascii="Times New Roman" w:hAnsi="Times New Roman" w:cs="Times New Roman"/>
                <w:color w:val="000000" w:themeColor="text1"/>
                <w:kern w:val="0"/>
                <w:sz w:val="18"/>
                <w:szCs w:val="18"/>
                <w:lang w:bidi="ar"/>
                <w14:textFill>
                  <w14:solidFill>
                    <w14:schemeClr w14:val="tx1"/>
                  </w14:solidFill>
                </w14:textFill>
              </w:rPr>
              <w:t>～0.</w:t>
            </w:r>
            <w:r>
              <w:rPr>
                <w:rFonts w:hint="eastAsia" w:ascii="Times New Roman" w:hAnsi="Times New Roman" w:cs="Times New Roman"/>
                <w:color w:val="000000" w:themeColor="text1"/>
                <w:kern w:val="0"/>
                <w:sz w:val="18"/>
                <w:szCs w:val="18"/>
                <w:lang w:bidi="ar"/>
                <w14:textFill>
                  <w14:solidFill>
                    <w14:schemeClr w14:val="tx1"/>
                  </w14:solidFill>
                </w14:textFill>
              </w:rPr>
              <w:t>5</w:t>
            </w:r>
            <w:r>
              <w:rPr>
                <w:rFonts w:ascii="Times New Roman" w:hAnsi="Times New Roman" w:cs="Times New Roman"/>
                <w:color w:val="000000" w:themeColor="text1"/>
                <w:kern w:val="0"/>
                <w:sz w:val="18"/>
                <w:szCs w:val="18"/>
                <w:lang w:bidi="ar"/>
                <w14:textFill>
                  <w14:solidFill>
                    <w14:schemeClr w14:val="tx1"/>
                  </w14:solidFill>
                </w14:textFill>
              </w:rPr>
              <w:t xml:space="preserve"> mg/次，最大1.5 mg，5分钟后可重复含服。</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p w14:paraId="4CDF8FE8">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2.静脉输注初始剂量10 μg/min，根据患者需要，隔30 min以10 μg/min速度加量一次。</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37A086A2">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严重的肝病患者慎用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2459B60B">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肾功能不全无需调整剂量</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20A97886">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070F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20387A59">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w:t>
            </w:r>
            <w:r>
              <w:rPr>
                <w:rFonts w:hint="eastAsia" w:ascii="Times New Roman" w:hAnsi="Times New Roman" w:cs="Times New Roman"/>
                <w:color w:val="000000" w:themeColor="text1"/>
                <w:kern w:val="0"/>
                <w:sz w:val="18"/>
                <w:szCs w:val="18"/>
                <w:lang w:bidi="ar"/>
                <w14:textFill>
                  <w14:solidFill>
                    <w14:schemeClr w14:val="tx1"/>
                  </w14:solidFill>
                </w14:textFill>
              </w:rPr>
              <w:t>7</w:t>
            </w:r>
          </w:p>
        </w:tc>
        <w:tc>
          <w:tcPr>
            <w:tcW w:w="1027" w:type="dxa"/>
            <w:shd w:val="clear" w:color="auto" w:fill="auto"/>
            <w:vAlign w:val="center"/>
          </w:tcPr>
          <w:p w14:paraId="31BA7BCE">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单硝酸异山梨酯</w:t>
            </w:r>
          </w:p>
        </w:tc>
        <w:tc>
          <w:tcPr>
            <w:tcW w:w="3565" w:type="dxa"/>
            <w:shd w:val="clear" w:color="auto" w:fill="auto"/>
            <w:vAlign w:val="center"/>
          </w:tcPr>
          <w:p w14:paraId="5A2C4EA6">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1.口服给药：</w:t>
            </w:r>
          </w:p>
          <w:p w14:paraId="70D214B6">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（1）普通片</w:t>
            </w:r>
            <w:r>
              <w:rPr>
                <w:rFonts w:ascii="Times New Roman" w:hAnsi="Times New Roman" w:cs="Times New Roman"/>
                <w:color w:val="000000" w:themeColor="text1"/>
                <w:sz w:val="18"/>
                <w:szCs w:val="18"/>
                <w14:textFill>
                  <w14:solidFill>
                    <w14:schemeClr w14:val="tx1"/>
                  </w14:solidFill>
                </w14:textFill>
              </w:rPr>
              <w:t>：10～20 mg/次，每日2次；预防心绞痛：一次5～10 mg，一日2～3次。</w:t>
            </w:r>
          </w:p>
          <w:p w14:paraId="46718539">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w:t>
            </w:r>
            <w:r>
              <w:rPr>
                <w:rFonts w:ascii="Times New Roman" w:hAnsi="Times New Roman" w:cs="Times New Roman"/>
                <w:color w:val="000000" w:themeColor="text1"/>
                <w:sz w:val="18"/>
                <w:szCs w:val="18"/>
                <w14:textFill>
                  <w14:solidFill>
                    <w14:schemeClr w14:val="tx1"/>
                  </w14:solidFill>
                </w14:textFill>
              </w:rPr>
              <w:t>缓释制剂：30～60 mg/次，每日1次，必要时可增加至120 mg。</w:t>
            </w:r>
          </w:p>
          <w:p w14:paraId="0C10C655">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2.静脉滴注：临用前加0.9%氯化钠注射液或5%葡萄糖注射液稀释后静脉滴注。药物剂量可根据患者的反应调整，一般有效剂量为每小时2～7 mg。开始给药速度为60 ug/min，一般速度为60～120 ug/min，一日1次，10天为一疗程。</w:t>
            </w:r>
            <w:r>
              <w:rPr>
                <w:rFonts w:ascii="Times New Roman" w:hAnsi="Times New Roman" w:cs="Times New Roman"/>
                <w:color w:val="000000" w:themeColor="text1"/>
                <w:sz w:val="18"/>
                <w:szCs w:val="18"/>
                <w:vertAlign w:val="superscript"/>
                <w14:textFill>
                  <w14:solidFill>
                    <w14:schemeClr w14:val="tx1"/>
                  </w14:solidFill>
                </w14:textFill>
              </w:rPr>
              <w:t>c</w:t>
            </w:r>
          </w:p>
        </w:tc>
        <w:tc>
          <w:tcPr>
            <w:tcW w:w="1218" w:type="dxa"/>
            <w:shd w:val="clear" w:color="auto" w:fill="auto"/>
            <w:vAlign w:val="center"/>
          </w:tcPr>
          <w:p w14:paraId="7A95708F">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尚不明确</w:t>
            </w:r>
            <w:r>
              <w:rPr>
                <w:rFonts w:hint="eastAsia" w:ascii="Times New Roman" w:hAnsi="Times New Roman" w:cs="Times New Roman"/>
                <w:color w:val="000000" w:themeColor="text1"/>
                <w:sz w:val="18"/>
                <w:szCs w:val="18"/>
                <w14:textFill>
                  <w14:solidFill>
                    <w14:schemeClr w14:val="tx1"/>
                  </w14:solidFill>
                </w14:textFill>
              </w:rPr>
              <w:t>。</w:t>
            </w:r>
          </w:p>
        </w:tc>
        <w:tc>
          <w:tcPr>
            <w:tcW w:w="2423" w:type="dxa"/>
            <w:shd w:val="clear" w:color="auto" w:fill="auto"/>
            <w:vAlign w:val="center"/>
          </w:tcPr>
          <w:p w14:paraId="520C1B4E">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肾功能不全者慎用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358054D5">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17432C86">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c：</w:t>
            </w:r>
            <w:r>
              <w:rPr>
                <w:rFonts w:ascii="Times New Roman" w:hAnsi="Times New Roman" w:cs="Times New Roman"/>
                <w:color w:val="000000" w:themeColor="text1"/>
                <w:kern w:val="0"/>
                <w:sz w:val="18"/>
                <w:szCs w:val="18"/>
                <w:lang w:bidi="ar"/>
                <w14:textFill>
                  <w14:solidFill>
                    <w14:schemeClr w14:val="tx1"/>
                  </w14:solidFill>
                </w14:textFill>
              </w:rPr>
              <w:t>临床用药须知2020</w:t>
            </w:r>
          </w:p>
        </w:tc>
      </w:tr>
      <w:tr w14:paraId="008A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0426F5B9">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w:t>
            </w:r>
            <w:r>
              <w:rPr>
                <w:rFonts w:hint="eastAsia" w:ascii="Times New Roman" w:hAnsi="Times New Roman" w:cs="Times New Roman"/>
                <w:color w:val="000000" w:themeColor="text1"/>
                <w:kern w:val="0"/>
                <w:sz w:val="18"/>
                <w:szCs w:val="18"/>
                <w:lang w:bidi="ar"/>
                <w14:textFill>
                  <w14:solidFill>
                    <w14:schemeClr w14:val="tx1"/>
                  </w14:solidFill>
                </w14:textFill>
              </w:rPr>
              <w:t>8</w:t>
            </w:r>
          </w:p>
        </w:tc>
        <w:tc>
          <w:tcPr>
            <w:tcW w:w="1027" w:type="dxa"/>
            <w:shd w:val="clear" w:color="auto" w:fill="auto"/>
            <w:vAlign w:val="center"/>
          </w:tcPr>
          <w:p w14:paraId="65AD6C08">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硝酸异山梨酯</w:t>
            </w:r>
          </w:p>
        </w:tc>
        <w:tc>
          <w:tcPr>
            <w:tcW w:w="3565" w:type="dxa"/>
            <w:shd w:val="clear" w:color="auto" w:fill="auto"/>
            <w:vAlign w:val="center"/>
          </w:tcPr>
          <w:p w14:paraId="49166717">
            <w:pPr>
              <w:widowControl/>
              <w:wordWrap w:val="0"/>
              <w:spacing w:line="240" w:lineRule="auto"/>
              <w:ind w:firstLine="0" w:firstLineChars="0"/>
              <w:textAlignment w:val="bottom"/>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1.口服给药</w:t>
            </w:r>
            <w:r>
              <w:rPr>
                <w:rFonts w:ascii="Times New Roman" w:hAnsi="Times New Roman" w:cs="Times New Roman"/>
                <w:color w:val="000000" w:themeColor="text1"/>
                <w:sz w:val="18"/>
                <w:szCs w:val="18"/>
                <w14:textFill>
                  <w14:solidFill>
                    <w14:schemeClr w14:val="tx1"/>
                  </w14:solidFill>
                </w14:textFill>
              </w:rPr>
              <w:t>：</w:t>
            </w:r>
          </w:p>
          <w:p w14:paraId="7B7DC4AE">
            <w:pPr>
              <w:widowControl/>
              <w:wordWrap w:val="0"/>
              <w:spacing w:line="240" w:lineRule="auto"/>
              <w:ind w:firstLine="0" w:firstLineChars="0"/>
              <w:textAlignment w:val="bottom"/>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（1）普通片：一次5～10 mg，一日2～3次，一日总量10～30 mg，由于个体化反应不同，需个体化调整剂量。</w:t>
            </w:r>
          </w:p>
          <w:p w14:paraId="22EF338F">
            <w:pPr>
              <w:widowControl/>
              <w:wordWrap w:val="0"/>
              <w:spacing w:line="240" w:lineRule="auto"/>
              <w:ind w:firstLine="0" w:firstLineChars="0"/>
              <w:textAlignment w:val="bottom"/>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 xml:space="preserve">（2）缓释制剂：一次20 mg，每8～12 </w:t>
            </w:r>
            <w:r>
              <w:rPr>
                <w:rFonts w:hint="eastAsia" w:ascii="Times New Roman" w:hAnsi="Times New Roman" w:cs="Times New Roman"/>
                <w:color w:val="000000" w:themeColor="text1"/>
                <w:kern w:val="0"/>
                <w:sz w:val="18"/>
                <w:szCs w:val="18"/>
                <w:lang w:bidi="ar"/>
                <w14:textFill>
                  <w14:solidFill>
                    <w14:schemeClr w14:val="tx1"/>
                  </w14:solidFill>
                </w14:textFill>
              </w:rPr>
              <w:t>h</w:t>
            </w:r>
            <w:r>
              <w:rPr>
                <w:rFonts w:ascii="Times New Roman" w:hAnsi="Times New Roman" w:cs="Times New Roman"/>
                <w:color w:val="000000" w:themeColor="text1"/>
                <w:kern w:val="0"/>
                <w:sz w:val="18"/>
                <w:szCs w:val="18"/>
                <w:lang w:bidi="ar"/>
                <w14:textFill>
                  <w14:solidFill>
                    <w14:schemeClr w14:val="tx1"/>
                  </w14:solidFill>
                </w14:textFill>
              </w:rPr>
              <w:t>给予一次，剂量增减必须经医生允许，应于饭后整片吞服，勿嚼碎服用。</w:t>
            </w:r>
          </w:p>
          <w:p w14:paraId="4D99C19A">
            <w:pPr>
              <w:widowControl/>
              <w:wordWrap w:val="0"/>
              <w:spacing w:line="240" w:lineRule="auto"/>
              <w:ind w:firstLine="0" w:firstLineChars="0"/>
              <w:textAlignment w:val="bottom"/>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2.舌下给药：一次5 mg。</w:t>
            </w:r>
          </w:p>
          <w:p w14:paraId="1EA503D2">
            <w:pPr>
              <w:widowControl/>
              <w:wordWrap w:val="0"/>
              <w:spacing w:line="240" w:lineRule="auto"/>
              <w:ind w:firstLine="0" w:firstLineChars="0"/>
              <w:textAlignment w:val="bottom"/>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3.静脉滴注：剂量需根据病情和临床反应进行调整，并要监测血流动力学参数。初始剂量从1～2 mg/h开始，然后根据病情调整，最大剂量通常不超过8～10 mg/h。</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3B903EB8">
            <w:pPr>
              <w:widowControl/>
              <w:wordWrap w:val="0"/>
              <w:spacing w:line="240" w:lineRule="auto"/>
              <w:ind w:firstLine="0" w:firstLineChars="0"/>
              <w:textAlignment w:val="bottom"/>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严重的肝脏疾病患者慎用（使用针剂）</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27C2F1DC">
            <w:pPr>
              <w:widowControl/>
              <w:wordWrap w:val="0"/>
              <w:spacing w:line="240" w:lineRule="auto"/>
              <w:ind w:firstLine="0" w:firstLineChars="0"/>
              <w:textAlignment w:val="bottom"/>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严重的肾脏疾病患者慎用（使用针剂）</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7CC556AA">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399ABE7B">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c：</w:t>
            </w:r>
            <w:r>
              <w:rPr>
                <w:rFonts w:ascii="Times New Roman" w:hAnsi="Times New Roman" w:cs="Times New Roman"/>
                <w:color w:val="000000" w:themeColor="text1"/>
                <w:kern w:val="0"/>
                <w:sz w:val="18"/>
                <w:szCs w:val="18"/>
                <w:lang w:bidi="ar"/>
                <w14:textFill>
                  <w14:solidFill>
                    <w14:schemeClr w14:val="tx1"/>
                  </w14:solidFill>
                </w14:textFill>
              </w:rPr>
              <w:t>临床用药须知2020</w:t>
            </w:r>
          </w:p>
        </w:tc>
      </w:tr>
      <w:tr w14:paraId="7929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3" w:type="dxa"/>
            <w:gridSpan w:val="6"/>
          </w:tcPr>
          <w:p w14:paraId="529D5740">
            <w:pPr>
              <w:pStyle w:val="89"/>
              <w:rPr>
                <w:rFonts w:ascii="Times New Roman" w:hAnsi="Times New Roman" w:eastAsia="宋体" w:cs="Times New Roman"/>
                <w:b w:val="0"/>
                <w:bCs w:val="0"/>
                <w:color w:val="000000" w:themeColor="text1"/>
                <w14:textFill>
                  <w14:solidFill>
                    <w14:schemeClr w14:val="tx1"/>
                  </w14:solidFill>
                </w14:textFill>
              </w:rPr>
            </w:pPr>
            <w:r>
              <w:rPr>
                <w:rFonts w:ascii="Times New Roman" w:hAnsi="Times New Roman" w:eastAsia="宋体" w:cs="Times New Roman"/>
                <w:b w:val="0"/>
                <w:bCs w:val="0"/>
                <w:i/>
                <w:iCs/>
                <w:color w:val="000000" w:themeColor="text1"/>
                <w:kern w:val="0"/>
                <w:sz w:val="18"/>
                <w:szCs w:val="18"/>
                <w:lang w:bidi="ar"/>
                <w14:textFill>
                  <w14:solidFill>
                    <w14:schemeClr w14:val="tx1"/>
                  </w14:solidFill>
                </w14:textFill>
              </w:rPr>
              <w:t>β</w:t>
            </w:r>
            <w:r>
              <w:rPr>
                <w:rFonts w:ascii="Times New Roman" w:hAnsi="Times New Roman" w:eastAsia="宋体" w:cs="Times New Roman"/>
                <w:b w:val="0"/>
                <w:bCs w:val="0"/>
                <w:color w:val="000000" w:themeColor="text1"/>
                <w:kern w:val="0"/>
                <w:sz w:val="18"/>
                <w:szCs w:val="18"/>
                <w:lang w:bidi="ar"/>
                <w14:textFill>
                  <w14:solidFill>
                    <w14:schemeClr w14:val="tx1"/>
                  </w14:solidFill>
                </w14:textFill>
              </w:rPr>
              <w:t>受体阻滞剂</w:t>
            </w:r>
          </w:p>
        </w:tc>
      </w:tr>
      <w:tr w14:paraId="4C3A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38AA5582">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w:t>
            </w:r>
            <w:r>
              <w:rPr>
                <w:rFonts w:hint="eastAsia" w:ascii="Times New Roman" w:hAnsi="Times New Roman" w:cs="Times New Roman"/>
                <w:color w:val="000000" w:themeColor="text1"/>
                <w:kern w:val="0"/>
                <w:sz w:val="18"/>
                <w:szCs w:val="18"/>
                <w:lang w:bidi="ar"/>
                <w14:textFill>
                  <w14:solidFill>
                    <w14:schemeClr w14:val="tx1"/>
                  </w14:solidFill>
                </w14:textFill>
              </w:rPr>
              <w:t>9</w:t>
            </w:r>
          </w:p>
        </w:tc>
        <w:tc>
          <w:tcPr>
            <w:tcW w:w="1027" w:type="dxa"/>
            <w:shd w:val="clear" w:color="auto" w:fill="auto"/>
            <w:vAlign w:val="center"/>
          </w:tcPr>
          <w:p w14:paraId="799F23A1">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美托洛尔</w:t>
            </w:r>
          </w:p>
        </w:tc>
        <w:tc>
          <w:tcPr>
            <w:tcW w:w="3565" w:type="dxa"/>
            <w:shd w:val="clear" w:color="auto" w:fill="auto"/>
            <w:vAlign w:val="center"/>
          </w:tcPr>
          <w:p w14:paraId="6926DBA9">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1.急性心肌梗死：</w:t>
            </w:r>
          </w:p>
          <w:p w14:paraId="12C5CC1F">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通常先静脉注射给药，一次2.5～5 mg（2分钟内），每5分钟1次，共3次（总剂量为10～15 mg）。15分钟后开始口服本药25～50 mg，每6～12</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次，共24～48</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；随后口服50～100 mg，一日2次。心肌梗死后若无禁忌症应长期服用（通常一次50～100 mg，一日2次），已证实长期服用可降低心源性死亡率（包括猝死）。</w:t>
            </w:r>
          </w:p>
          <w:p w14:paraId="4934800D">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2.心绞痛：</w:t>
            </w:r>
          </w:p>
          <w:p w14:paraId="7E2154CD">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（1）普通片</w:t>
            </w:r>
            <w:r>
              <w:rPr>
                <w:rFonts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一次25～50 mg，一日2～3次；或一次100 mg，一日2次。</w:t>
            </w:r>
          </w:p>
          <w:p w14:paraId="5FBF33C2">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（2）缓释片</w:t>
            </w:r>
            <w:r>
              <w:rPr>
                <w:rFonts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以酒石酸美托洛尔计，一次100～200 mg，一日1次。必要时可增加剂量。</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453179E9">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对于肝损害患者，减少初始剂量，逐渐增加剂量至最佳治疗状态，同时密切监测患者的不良事件。严重肝功能损害时减少剂量。</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161EB0B8">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无需调整剂量</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326E4ADA">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74C1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7503134C">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20</w:t>
            </w:r>
          </w:p>
        </w:tc>
        <w:tc>
          <w:tcPr>
            <w:tcW w:w="1027" w:type="dxa"/>
            <w:shd w:val="clear" w:color="auto" w:fill="auto"/>
            <w:vAlign w:val="center"/>
          </w:tcPr>
          <w:p w14:paraId="120832C3">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普萘洛尔</w:t>
            </w:r>
          </w:p>
        </w:tc>
        <w:tc>
          <w:tcPr>
            <w:tcW w:w="3565" w:type="dxa"/>
            <w:shd w:val="clear" w:color="auto" w:fill="auto"/>
            <w:vAlign w:val="center"/>
          </w:tcPr>
          <w:p w14:paraId="5F9028E5">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1.心绞痛：</w:t>
            </w:r>
          </w:p>
          <w:p w14:paraId="387DD307">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（1）口服给药</w:t>
            </w:r>
          </w:p>
          <w:p w14:paraId="4E15745B">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①普通片</w:t>
            </w:r>
            <w:r>
              <w:rPr>
                <w:rFonts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初始剂量一次5～10 mg，一日3～4次；每3日增加10～20 mg，逐渐增至一日200 mg，分次服用。</w:t>
            </w:r>
          </w:p>
          <w:p w14:paraId="281DA578">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②缓释制剂</w:t>
            </w:r>
            <w:r>
              <w:rPr>
                <w:rFonts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一日40 mg，早晨或夜间服用。</w:t>
            </w:r>
          </w:p>
          <w:p w14:paraId="1461C157">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（2）静脉注射：一次2.5～5 mg加5%葡萄糖液20 ml，以每2～3分钟注射1 mg速度缓慢注射。</w:t>
            </w:r>
          </w:p>
          <w:p w14:paraId="0542EACB">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2.心肌梗死：</w:t>
            </w:r>
          </w:p>
          <w:p w14:paraId="73362C75">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一日30～240 mg，分2～3次服用。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005485FC">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肝功能不全者减量，慎用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45A4C33A">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肾功能不全者减量，慎用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5CE26821">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4DE8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42AFADE9">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21</w:t>
            </w:r>
          </w:p>
        </w:tc>
        <w:tc>
          <w:tcPr>
            <w:tcW w:w="1027" w:type="dxa"/>
            <w:shd w:val="clear" w:color="auto" w:fill="auto"/>
            <w:vAlign w:val="center"/>
          </w:tcPr>
          <w:p w14:paraId="68AF98FC">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比索洛尔</w:t>
            </w:r>
          </w:p>
        </w:tc>
        <w:tc>
          <w:tcPr>
            <w:tcW w:w="3565" w:type="dxa"/>
            <w:shd w:val="clear" w:color="auto" w:fill="auto"/>
            <w:vAlign w:val="center"/>
          </w:tcPr>
          <w:p w14:paraId="338CF77B">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心绞痛：口服给药一次5 mg，一日1次。如疗效不明显，可增至一次10 mg，一日1次</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41FEEDCB">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轻中度肝功能不全患者通常不需调整剂量；严重肝功能异常患者，每日剂量不得超过10 mg。</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6BF562DB">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轻中度肾功能不全患者通常不需调整剂量；严重肾功能衰竭（CrCl＜20 ml/min）,每日剂量不得超过10 mg。</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3FDE4ACB">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467B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5D7FFFF5">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22</w:t>
            </w:r>
          </w:p>
        </w:tc>
        <w:tc>
          <w:tcPr>
            <w:tcW w:w="1027" w:type="dxa"/>
            <w:shd w:val="clear" w:color="auto" w:fill="auto"/>
            <w:vAlign w:val="center"/>
          </w:tcPr>
          <w:p w14:paraId="128B3F16">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阿替洛尔</w:t>
            </w:r>
          </w:p>
        </w:tc>
        <w:tc>
          <w:tcPr>
            <w:tcW w:w="3565" w:type="dxa"/>
            <w:shd w:val="clear" w:color="auto" w:fill="auto"/>
            <w:vAlign w:val="center"/>
          </w:tcPr>
          <w:p w14:paraId="02FFE3BF">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初始剂量6.25～12.5 mg/次，每日2次，按需要及耐受量逐渐增至50～200 mg。</w:t>
            </w:r>
            <w:r>
              <w:rPr>
                <w:rFonts w:ascii="Times New Roman" w:hAnsi="Times New Roman" w:cs="Times New Roman"/>
                <w:color w:val="000000" w:themeColor="text1"/>
                <w:sz w:val="18"/>
                <w:szCs w:val="18"/>
                <w:vertAlign w:val="superscript"/>
                <w14:textFill>
                  <w14:solidFill>
                    <w14:schemeClr w14:val="tx1"/>
                  </w14:solidFill>
                </w14:textFill>
              </w:rPr>
              <w:t>a</w:t>
            </w:r>
          </w:p>
        </w:tc>
        <w:tc>
          <w:tcPr>
            <w:tcW w:w="1218" w:type="dxa"/>
            <w:shd w:val="clear" w:color="auto" w:fill="auto"/>
            <w:vAlign w:val="center"/>
          </w:tcPr>
          <w:p w14:paraId="2DD0C512">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尚不明确</w:t>
            </w:r>
            <w:r>
              <w:rPr>
                <w:rFonts w:hint="eastAsia" w:ascii="Times New Roman" w:hAnsi="Times New Roman" w:cs="Times New Roman"/>
                <w:color w:val="000000" w:themeColor="text1"/>
                <w:sz w:val="18"/>
                <w:szCs w:val="18"/>
                <w14:textFill>
                  <w14:solidFill>
                    <w14:schemeClr w14:val="tx1"/>
                  </w14:solidFill>
                </w14:textFill>
              </w:rPr>
              <w:t>。</w:t>
            </w:r>
          </w:p>
        </w:tc>
        <w:tc>
          <w:tcPr>
            <w:tcW w:w="2423" w:type="dxa"/>
            <w:shd w:val="clear" w:color="auto" w:fill="auto"/>
            <w:vAlign w:val="center"/>
          </w:tcPr>
          <w:p w14:paraId="3D24FD3D">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肾损害时，eGFR＜15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者，每日25 mg ；eGFR 15～35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者，每日最多50 mg。</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4F13D265">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480E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3" w:type="dxa"/>
            <w:gridSpan w:val="6"/>
          </w:tcPr>
          <w:p w14:paraId="015C2BF2">
            <w:pPr>
              <w:pStyle w:val="89"/>
              <w:rPr>
                <w:rFonts w:ascii="Times New Roman" w:hAnsi="Times New Roman" w:eastAsia="宋体" w:cs="Times New Roman"/>
                <w:b w:val="0"/>
                <w:bCs w:val="0"/>
                <w:color w:val="000000" w:themeColor="text1"/>
                <w14:textFill>
                  <w14:solidFill>
                    <w14:schemeClr w14:val="tx1"/>
                  </w14:solidFill>
                </w14:textFill>
              </w:rPr>
            </w:pPr>
            <w:r>
              <w:rPr>
                <w:rFonts w:ascii="Times New Roman" w:hAnsi="Times New Roman" w:eastAsia="宋体" w:cs="Times New Roman"/>
                <w:b w:val="0"/>
                <w:bCs w:val="0"/>
                <w:color w:val="000000" w:themeColor="text1"/>
                <w:kern w:val="0"/>
                <w:sz w:val="18"/>
                <w:szCs w:val="18"/>
                <w:lang w:bidi="ar"/>
                <w14:textFill>
                  <w14:solidFill>
                    <w14:schemeClr w14:val="tx1"/>
                  </w14:solidFill>
                </w14:textFill>
              </w:rPr>
              <w:t>CCB类药物</w:t>
            </w:r>
          </w:p>
        </w:tc>
      </w:tr>
      <w:tr w14:paraId="6580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72BD8B39">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23</w:t>
            </w:r>
          </w:p>
        </w:tc>
        <w:tc>
          <w:tcPr>
            <w:tcW w:w="1027" w:type="dxa"/>
            <w:shd w:val="clear" w:color="auto" w:fill="auto"/>
            <w:vAlign w:val="center"/>
          </w:tcPr>
          <w:p w14:paraId="6C92FC32">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硝苯地平</w:t>
            </w:r>
          </w:p>
        </w:tc>
        <w:tc>
          <w:tcPr>
            <w:tcW w:w="3565" w:type="dxa"/>
            <w:shd w:val="clear" w:color="auto" w:fill="auto"/>
            <w:vAlign w:val="center"/>
          </w:tcPr>
          <w:p w14:paraId="5DE1F8FB">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1.片剂：初始剂量一次10 mg，一日3次，维持剂量10～20 mg，一日3次，视患者耐受性和心绞痛的控制情况逐渐调整剂量。</w:t>
            </w:r>
          </w:p>
          <w:p w14:paraId="4119A7E6">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2.缓释制剂：一次10～20 mg，一日2次，或遵医嘱。</w:t>
            </w:r>
          </w:p>
          <w:p w14:paraId="104AFFEB">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3.控释片：一次30～60 mg，一日1次。</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p w14:paraId="28489A49">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p>
        </w:tc>
        <w:tc>
          <w:tcPr>
            <w:tcW w:w="1218" w:type="dxa"/>
            <w:shd w:val="clear" w:color="auto" w:fill="auto"/>
            <w:vAlign w:val="center"/>
          </w:tcPr>
          <w:p w14:paraId="0453BA0A">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基于Child Pugh评分的轻、中和重度肝功能损害患者应仔细监控，可能需要减少剂量，慎用。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1B14CB1B">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肾功能损害患者慎用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c</w:t>
            </w:r>
          </w:p>
        </w:tc>
        <w:tc>
          <w:tcPr>
            <w:tcW w:w="1529" w:type="dxa"/>
            <w:shd w:val="clear" w:color="auto" w:fill="auto"/>
            <w:vAlign w:val="center"/>
          </w:tcPr>
          <w:p w14:paraId="07C08A80">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008E131E">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c：</w:t>
            </w:r>
            <w:r>
              <w:rPr>
                <w:rFonts w:ascii="Times New Roman" w:hAnsi="Times New Roman" w:cs="Times New Roman"/>
                <w:color w:val="000000" w:themeColor="text1"/>
                <w:kern w:val="0"/>
                <w:sz w:val="18"/>
                <w:szCs w:val="18"/>
                <w:lang w:bidi="ar"/>
                <w14:textFill>
                  <w14:solidFill>
                    <w14:schemeClr w14:val="tx1"/>
                  </w14:solidFill>
                </w14:textFill>
              </w:rPr>
              <w:t>临床用药须知2020</w:t>
            </w:r>
          </w:p>
        </w:tc>
      </w:tr>
      <w:tr w14:paraId="3D13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7B5ACC13">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24</w:t>
            </w:r>
          </w:p>
        </w:tc>
        <w:tc>
          <w:tcPr>
            <w:tcW w:w="1027" w:type="dxa"/>
            <w:shd w:val="clear" w:color="auto" w:fill="auto"/>
            <w:vAlign w:val="center"/>
          </w:tcPr>
          <w:p w14:paraId="6553F3E7">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左氨氯地平</w:t>
            </w:r>
          </w:p>
        </w:tc>
        <w:tc>
          <w:tcPr>
            <w:tcW w:w="3565" w:type="dxa"/>
            <w:shd w:val="clear" w:color="auto" w:fill="auto"/>
            <w:vAlign w:val="center"/>
          </w:tcPr>
          <w:p w14:paraId="60C0E09F">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一次2.5～5 mg，一日1次（多数患者的有效剂量为一次5 mg）。</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62762FB1">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肝功能损伤者慎用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c</w:t>
            </w:r>
          </w:p>
        </w:tc>
        <w:tc>
          <w:tcPr>
            <w:tcW w:w="2423" w:type="dxa"/>
            <w:shd w:val="clear" w:color="auto" w:fill="auto"/>
            <w:vAlign w:val="center"/>
          </w:tcPr>
          <w:p w14:paraId="6B1083C6">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无需调整剂量</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739C2109">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47AC5BDE">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b：冠心病合理用药指南（第二版）</w:t>
            </w:r>
          </w:p>
          <w:p w14:paraId="3A4D2865">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c：</w:t>
            </w:r>
            <w:r>
              <w:rPr>
                <w:rFonts w:ascii="Times New Roman" w:hAnsi="Times New Roman" w:cs="Times New Roman"/>
                <w:color w:val="000000" w:themeColor="text1"/>
                <w:kern w:val="0"/>
                <w:sz w:val="18"/>
                <w:szCs w:val="18"/>
                <w:lang w:bidi="ar"/>
                <w14:textFill>
                  <w14:solidFill>
                    <w14:schemeClr w14:val="tx1"/>
                  </w14:solidFill>
                </w14:textFill>
              </w:rPr>
              <w:t>临床用药须知2020</w:t>
            </w:r>
          </w:p>
        </w:tc>
      </w:tr>
      <w:tr w14:paraId="31C0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2D916C74">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25</w:t>
            </w:r>
          </w:p>
        </w:tc>
        <w:tc>
          <w:tcPr>
            <w:tcW w:w="1027" w:type="dxa"/>
            <w:shd w:val="clear" w:color="auto" w:fill="auto"/>
            <w:vAlign w:val="center"/>
          </w:tcPr>
          <w:p w14:paraId="3EFA7941">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氨氯地平</w:t>
            </w:r>
          </w:p>
        </w:tc>
        <w:tc>
          <w:tcPr>
            <w:tcW w:w="3565" w:type="dxa"/>
            <w:shd w:val="clear" w:color="auto" w:fill="auto"/>
            <w:vAlign w:val="center"/>
          </w:tcPr>
          <w:p w14:paraId="2A0A87A9">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一次5～10 mg，一日1次。</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71031816">
            <w:pPr>
              <w:widowControl/>
              <w:wordWrap w:val="0"/>
              <w:spacing w:line="240" w:lineRule="auto"/>
              <w:ind w:firstLine="0" w:firstLineChars="0"/>
              <w:textAlignment w:val="center"/>
              <w:rPr>
                <w:rFonts w:ascii="Times New Roman" w:hAnsi="Times New Roman" w:cs="Times New Roman"/>
                <w:color w:val="000000" w:themeColor="text1"/>
                <w:sz w:val="18"/>
                <w:szCs w:val="18"/>
                <w:vertAlign w:val="superscript"/>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肝功能不全患者建议使用较低剂量治疗，通常为10 mg，每日1次；重度肝功能不全者应缓慢增量。</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1EBFFEF4">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无需调整剂量</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46A48CF7">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63B8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47D2DC46">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26</w:t>
            </w:r>
          </w:p>
        </w:tc>
        <w:tc>
          <w:tcPr>
            <w:tcW w:w="1027" w:type="dxa"/>
            <w:shd w:val="clear" w:color="auto" w:fill="auto"/>
            <w:vAlign w:val="center"/>
          </w:tcPr>
          <w:p w14:paraId="7F5945E3">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非洛地平</w:t>
            </w:r>
          </w:p>
        </w:tc>
        <w:tc>
          <w:tcPr>
            <w:tcW w:w="3565" w:type="dxa"/>
            <w:shd w:val="clear" w:color="auto" w:fill="auto"/>
            <w:vAlign w:val="center"/>
          </w:tcPr>
          <w:p w14:paraId="1EDB1B37">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起始剂量：一次5 mg，常用维持剂量为5 或10 mg，一日一次</w:t>
            </w:r>
            <w:r>
              <w:rPr>
                <w:rFonts w:hint="eastAsia" w:ascii="Times New Roman" w:hAnsi="Times New Roman" w:cs="Times New Roman"/>
                <w:color w:val="000000" w:themeColor="text1"/>
                <w:kern w:val="0"/>
                <w:sz w:val="18"/>
                <w:szCs w:val="18"/>
                <w:lang w:bidi="ar"/>
                <w14:textFill>
                  <w14:solidFill>
                    <w14:schemeClr w14:val="tx1"/>
                  </w14:solidFill>
                </w14:textFill>
              </w:rPr>
              <w:t>。</w:t>
            </w:r>
          </w:p>
          <w:p w14:paraId="56AFC94C">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老年患者用药：一次2.5 mg，一日1次。通常不超过一次10 mg，一日1次。</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30CA4AEB">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肝功能不全患者慎用，初始剂量为2.5 mg，一天一次</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a,c</w:t>
            </w:r>
          </w:p>
          <w:p w14:paraId="5BA8D8D6">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p>
        </w:tc>
        <w:tc>
          <w:tcPr>
            <w:tcW w:w="2423" w:type="dxa"/>
            <w:shd w:val="clear" w:color="auto" w:fill="auto"/>
            <w:vAlign w:val="center"/>
          </w:tcPr>
          <w:p w14:paraId="77935DCF">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无需调整剂量；严重肾功能损害患者（CrCl＜30 ml/min）慎用（缓释制剂）</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6B82C6C2">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130FE45C">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c：</w:t>
            </w:r>
            <w:r>
              <w:rPr>
                <w:rFonts w:ascii="Times New Roman" w:hAnsi="Times New Roman" w:cs="Times New Roman"/>
                <w:color w:val="000000" w:themeColor="text1"/>
                <w:kern w:val="0"/>
                <w:sz w:val="18"/>
                <w:szCs w:val="18"/>
                <w:lang w:bidi="ar"/>
                <w14:textFill>
                  <w14:solidFill>
                    <w14:schemeClr w14:val="tx1"/>
                  </w14:solidFill>
                </w14:textFill>
              </w:rPr>
              <w:t>临床用药须知2020</w:t>
            </w:r>
          </w:p>
        </w:tc>
      </w:tr>
      <w:tr w14:paraId="1109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31C210B1">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27</w:t>
            </w:r>
          </w:p>
        </w:tc>
        <w:tc>
          <w:tcPr>
            <w:tcW w:w="1027" w:type="dxa"/>
            <w:shd w:val="clear" w:color="auto" w:fill="auto"/>
            <w:vAlign w:val="center"/>
          </w:tcPr>
          <w:p w14:paraId="7D072C3D">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维拉帕米</w:t>
            </w:r>
          </w:p>
        </w:tc>
        <w:tc>
          <w:tcPr>
            <w:tcW w:w="3565" w:type="dxa"/>
            <w:shd w:val="clear" w:color="auto" w:fill="auto"/>
            <w:vAlign w:val="center"/>
          </w:tcPr>
          <w:p w14:paraId="17392D7A">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1.口服给药</w:t>
            </w:r>
            <w:r>
              <w:rPr>
                <w:rFonts w:ascii="Times New Roman" w:hAnsi="Times New Roman" w:cs="Times New Roman"/>
                <w:color w:val="000000" w:themeColor="text1"/>
                <w:sz w:val="18"/>
                <w:szCs w:val="18"/>
                <w14:textFill>
                  <w14:solidFill>
                    <w14:schemeClr w14:val="tx1"/>
                  </w14:solidFill>
                </w14:textFill>
              </w:rPr>
              <w:t>：</w:t>
            </w:r>
          </w:p>
          <w:p w14:paraId="07926AFB">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（1）普通片</w:t>
            </w:r>
            <w:r>
              <w:rPr>
                <w:rFonts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一次80～120 mg，一日3次。约在用药后8</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根据疗效和安全评估决定是否增量，通过调整剂量达到个体化治疗，最大日剂量为480 mg。</w:t>
            </w:r>
            <w:r>
              <w:rPr>
                <w:rFonts w:ascii="Times New Roman" w:hAnsi="Times New Roman" w:cs="Times New Roman"/>
                <w:color w:val="000000" w:themeColor="text1"/>
                <w:kern w:val="0"/>
                <w:sz w:val="18"/>
                <w:szCs w:val="18"/>
                <w:vertAlign w:val="superscript"/>
                <w:lang w:bidi="ar"/>
                <w14:textFill>
                  <w14:solidFill>
                    <w14:schemeClr w14:val="tx1"/>
                  </w14:solidFill>
                </w14:textFill>
              </w:rPr>
              <w:t>a,b</w:t>
            </w:r>
          </w:p>
          <w:p w14:paraId="171EC181">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（2）缓释</w:t>
            </w:r>
            <w:r>
              <w:rPr>
                <w:rFonts w:hint="eastAsia" w:ascii="Times New Roman" w:hAnsi="Times New Roman" w:cs="Times New Roman"/>
                <w:color w:val="000000" w:themeColor="text1"/>
                <w:kern w:val="0"/>
                <w:sz w:val="18"/>
                <w:szCs w:val="18"/>
                <w:lang w:bidi="ar"/>
                <w14:textFill>
                  <w14:solidFill>
                    <w14:schemeClr w14:val="tx1"/>
                  </w14:solidFill>
                </w14:textFill>
              </w:rPr>
              <w:t>制剂</w:t>
            </w:r>
            <w:r>
              <w:rPr>
                <w:rFonts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初始剂量为一次120 mg或180 mg，一日1次。根据需要及耐受情况可逐步增至120 mg或180 mg，一日2次；或一次240 mg，一日1次。</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最大日剂量为480 mg。</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b</w:t>
            </w:r>
          </w:p>
          <w:p w14:paraId="11F22CAF">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2.静脉注射</w:t>
            </w:r>
            <w:r>
              <w:rPr>
                <w:rFonts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剂量应个体化，通常首剂为5～10 mg(或0.075～0.15 mg/kg体重)。静脉滴注每小时5～10 mg。</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p w14:paraId="12A8FF9B">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3.老年患者用药</w:t>
            </w:r>
          </w:p>
          <w:p w14:paraId="7862A277">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（1）普通片：应使用较低的初始剂量。用于心绞痛的安全剂量为一次40 mg，一日3次。</w:t>
            </w:r>
          </w:p>
          <w:p w14:paraId="7AFFA22B">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（2）缓释片：初始剂量一次120 mg，一日1次。</w:t>
            </w:r>
          </w:p>
          <w:p w14:paraId="3BFD3E0A">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（3）缓释胶囊：应使用较低的初始剂量。</w:t>
            </w:r>
          </w:p>
          <w:p w14:paraId="7D41C731">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（4）注射剂：应使用较低的初始剂量，且注射时间至少为3分钟。</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5F83A087">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肝功能不全患者40 mg/次，一日3次</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p w14:paraId="57B25374">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严重肝功能不全</w:t>
            </w:r>
            <w:r>
              <w:rPr>
                <w:rFonts w:hint="eastAsia" w:ascii="Times New Roman" w:hAnsi="Times New Roman" w:cs="Times New Roman"/>
                <w:color w:val="000000" w:themeColor="text1"/>
                <w:kern w:val="0"/>
                <w:sz w:val="18"/>
                <w:szCs w:val="18"/>
                <w:lang w:bidi="ar"/>
                <w14:textFill>
                  <w14:solidFill>
                    <w14:schemeClr w14:val="tx1"/>
                  </w14:solidFill>
                </w14:textFill>
              </w:rPr>
              <w:t>患者</w:t>
            </w:r>
            <w:r>
              <w:rPr>
                <w:rFonts w:ascii="Times New Roman" w:hAnsi="Times New Roman" w:cs="Times New Roman"/>
                <w:color w:val="000000" w:themeColor="text1"/>
                <w:kern w:val="0"/>
                <w:sz w:val="18"/>
                <w:szCs w:val="18"/>
                <w:lang w:bidi="ar"/>
                <w14:textFill>
                  <w14:solidFill>
                    <w14:schemeClr w14:val="tx1"/>
                  </w14:solidFill>
                </w14:textFill>
              </w:rPr>
              <w:t>服用正常剂量30%。</w:t>
            </w:r>
            <w:r>
              <w:rPr>
                <w:rFonts w:ascii="Times New Roman" w:hAnsi="Times New Roman" w:cs="Times New Roman"/>
                <w:color w:val="000000" w:themeColor="text1"/>
                <w:kern w:val="0"/>
                <w:sz w:val="18"/>
                <w:szCs w:val="18"/>
                <w:vertAlign w:val="superscript"/>
                <w:lang w:bidi="ar"/>
                <w14:textFill>
                  <w14:solidFill>
                    <w14:schemeClr w14:val="tx1"/>
                  </w14:solidFill>
                </w14:textFill>
              </w:rPr>
              <w:t>d</w:t>
            </w:r>
          </w:p>
        </w:tc>
        <w:tc>
          <w:tcPr>
            <w:tcW w:w="2423" w:type="dxa"/>
            <w:shd w:val="clear" w:color="auto" w:fill="auto"/>
            <w:vAlign w:val="center"/>
          </w:tcPr>
          <w:p w14:paraId="6F385F02">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肾功能不全患者慎用，透析患者禁用。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60A1AFB5">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35DEA6D2">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b：冠心病合理用药指南（第二版）</w:t>
            </w:r>
          </w:p>
          <w:p w14:paraId="39B287A1">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d:</w:t>
            </w:r>
            <w:r>
              <w:rPr>
                <w:rFonts w:ascii="Times New Roman" w:hAnsi="Times New Roman" w:cs="Times New Roman"/>
                <w:color w:val="000000" w:themeColor="text1"/>
                <w:kern w:val="0"/>
                <w:sz w:val="18"/>
                <w:szCs w:val="18"/>
                <w:lang w:bidi="ar"/>
                <w14:textFill>
                  <w14:solidFill>
                    <w14:schemeClr w14:val="tx1"/>
                  </w14:solidFill>
                </w14:textFill>
              </w:rPr>
              <w:t>稳定性冠心病基层合理用药指南</w:t>
            </w:r>
          </w:p>
        </w:tc>
      </w:tr>
      <w:tr w14:paraId="3D0B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44FA618A">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w:t>
            </w:r>
            <w:r>
              <w:rPr>
                <w:rFonts w:hint="eastAsia" w:ascii="Times New Roman" w:hAnsi="Times New Roman" w:cs="Times New Roman"/>
                <w:color w:val="000000" w:themeColor="text1"/>
                <w:kern w:val="0"/>
                <w:sz w:val="18"/>
                <w:szCs w:val="18"/>
                <w:lang w:bidi="ar"/>
                <w14:textFill>
                  <w14:solidFill>
                    <w14:schemeClr w14:val="tx1"/>
                  </w14:solidFill>
                </w14:textFill>
              </w:rPr>
              <w:t>8</w:t>
            </w:r>
          </w:p>
        </w:tc>
        <w:tc>
          <w:tcPr>
            <w:tcW w:w="1027" w:type="dxa"/>
            <w:shd w:val="clear" w:color="auto" w:fill="auto"/>
            <w:vAlign w:val="center"/>
          </w:tcPr>
          <w:p w14:paraId="547CB1F0">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地尔硫䓬</w:t>
            </w:r>
          </w:p>
        </w:tc>
        <w:tc>
          <w:tcPr>
            <w:tcW w:w="3565" w:type="dxa"/>
            <w:shd w:val="clear" w:color="auto" w:fill="auto"/>
            <w:vAlign w:val="center"/>
          </w:tcPr>
          <w:p w14:paraId="4EC336FA">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1.心绞痛</w:t>
            </w:r>
            <w:r>
              <w:rPr>
                <w:rFonts w:ascii="Times New Roman" w:hAnsi="Times New Roman" w:cs="Times New Roman"/>
                <w:color w:val="000000" w:themeColor="text1"/>
                <w:sz w:val="18"/>
                <w:szCs w:val="18"/>
                <w14:textFill>
                  <w14:solidFill>
                    <w14:schemeClr w14:val="tx1"/>
                  </w14:solidFill>
                </w14:textFill>
              </w:rPr>
              <w:t>：</w:t>
            </w:r>
          </w:p>
          <w:p w14:paraId="3220F927">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（1）片剂</w:t>
            </w:r>
            <w:r>
              <w:rPr>
                <w:rFonts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初始剂量</w:t>
            </w:r>
            <w:r>
              <w:rPr>
                <w:rFonts w:hint="eastAsia" w:ascii="Times New Roman" w:hAnsi="Times New Roman" w:cs="Times New Roman"/>
                <w:color w:val="000000" w:themeColor="text1"/>
                <w:kern w:val="0"/>
                <w:sz w:val="18"/>
                <w:szCs w:val="18"/>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次30～60 mg，一日3～4次，最大剂量360 mg，一日1次。</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p w14:paraId="360308F6">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（2）缓释制剂</w:t>
            </w:r>
            <w:r>
              <w:rPr>
                <w:rFonts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一次1～2 片，一日1次。</w:t>
            </w:r>
            <w:r>
              <w:rPr>
                <w:rFonts w:ascii="Times New Roman" w:hAnsi="Times New Roman" w:cs="Times New Roman"/>
                <w:color w:val="000000" w:themeColor="text1"/>
                <w:kern w:val="0"/>
                <w:sz w:val="18"/>
                <w:szCs w:val="18"/>
                <w:vertAlign w:val="superscript"/>
                <w:lang w:bidi="ar"/>
                <w14:textFill>
                  <w14:solidFill>
                    <w14:schemeClr w14:val="tx1"/>
                  </w14:solidFill>
                </w14:textFill>
              </w:rPr>
              <w:t>c</w:t>
            </w:r>
          </w:p>
          <w:p w14:paraId="2D7B9D42">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2.UA</w:t>
            </w:r>
            <w:r>
              <w:rPr>
                <w:rFonts w:ascii="Times New Roman" w:hAnsi="Times New Roman" w:cs="Times New Roman"/>
                <w:color w:val="000000" w:themeColor="text1"/>
                <w:sz w:val="18"/>
                <w:szCs w:val="18"/>
                <w14:textFill>
                  <w14:solidFill>
                    <w14:schemeClr w14:val="tx1"/>
                  </w14:solidFill>
                </w14:textFill>
              </w:rPr>
              <w:t>：</w:t>
            </w:r>
          </w:p>
          <w:p w14:paraId="7A4CC949">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（1）静脉给药：以1～5 μg/(kg·min)速度静脉滴注，应先从小剂量开始，然后可根据病情适当增减，最大剂量5 μg/(kg·min)。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p w14:paraId="6ED2ED54">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老年患者用药：应从低剂量开始给药。</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2CE79A71">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肝功能损害患者慎用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4C1C9C52">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肾功能损害患者慎用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00A5C345">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7240DA7F">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c：</w:t>
            </w:r>
            <w:r>
              <w:rPr>
                <w:rFonts w:ascii="Times New Roman" w:hAnsi="Times New Roman" w:cs="Times New Roman"/>
                <w:color w:val="000000" w:themeColor="text1"/>
                <w:kern w:val="0"/>
                <w:sz w:val="18"/>
                <w:szCs w:val="18"/>
                <w:lang w:bidi="ar"/>
                <w14:textFill>
                  <w14:solidFill>
                    <w14:schemeClr w14:val="tx1"/>
                  </w14:solidFill>
                </w14:textFill>
              </w:rPr>
              <w:t>临床用药须知2020</w:t>
            </w:r>
          </w:p>
        </w:tc>
      </w:tr>
      <w:tr w14:paraId="76EC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3" w:type="dxa"/>
            <w:gridSpan w:val="6"/>
          </w:tcPr>
          <w:p w14:paraId="71236BD3">
            <w:pPr>
              <w:pStyle w:val="89"/>
              <w:rPr>
                <w:rFonts w:ascii="Times New Roman" w:hAnsi="Times New Roman" w:eastAsia="宋体" w:cs="Times New Roman"/>
                <w:b w:val="0"/>
                <w:bCs w:val="0"/>
                <w:color w:val="000000" w:themeColor="text1"/>
                <w14:textFill>
                  <w14:solidFill>
                    <w14:schemeClr w14:val="tx1"/>
                  </w14:solidFill>
                </w14:textFill>
              </w:rPr>
            </w:pPr>
            <w:r>
              <w:rPr>
                <w:rFonts w:ascii="Times New Roman" w:hAnsi="Times New Roman" w:eastAsia="宋体" w:cs="Times New Roman"/>
                <w:b w:val="0"/>
                <w:bCs w:val="0"/>
                <w:color w:val="000000" w:themeColor="text1"/>
                <w:kern w:val="0"/>
                <w:sz w:val="18"/>
                <w:szCs w:val="18"/>
                <w:lang w:bidi="ar"/>
                <w14:textFill>
                  <w14:solidFill>
                    <w14:schemeClr w14:val="tx1"/>
                  </w14:solidFill>
                </w14:textFill>
              </w:rPr>
              <w:t>ACEI类药物（改善心肌重构）</w:t>
            </w:r>
          </w:p>
        </w:tc>
      </w:tr>
      <w:tr w14:paraId="0C05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6837FCA7">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w:t>
            </w:r>
            <w:r>
              <w:rPr>
                <w:rFonts w:hint="eastAsia" w:ascii="Times New Roman" w:hAnsi="Times New Roman" w:cs="Times New Roman"/>
                <w:color w:val="000000" w:themeColor="text1"/>
                <w:kern w:val="0"/>
                <w:sz w:val="18"/>
                <w:szCs w:val="18"/>
                <w:lang w:bidi="ar"/>
                <w14:textFill>
                  <w14:solidFill>
                    <w14:schemeClr w14:val="tx1"/>
                  </w14:solidFill>
                </w14:textFill>
              </w:rPr>
              <w:t>9</w:t>
            </w:r>
          </w:p>
        </w:tc>
        <w:tc>
          <w:tcPr>
            <w:tcW w:w="1027" w:type="dxa"/>
            <w:shd w:val="clear" w:color="auto" w:fill="auto"/>
            <w:vAlign w:val="center"/>
          </w:tcPr>
          <w:p w14:paraId="46E484C9">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卡托普利</w:t>
            </w:r>
          </w:p>
        </w:tc>
        <w:tc>
          <w:tcPr>
            <w:tcW w:w="3565" w:type="dxa"/>
            <w:shd w:val="clear" w:color="auto" w:fill="auto"/>
            <w:vAlign w:val="center"/>
          </w:tcPr>
          <w:p w14:paraId="47C6DEFF">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1.口服：初始剂量为一次12.5 mg，每日2～3次，必要时逐渐增至50 mg，每日2～3次</w:t>
            </w:r>
            <w:r>
              <w:rPr>
                <w:rFonts w:hint="eastAsia" w:ascii="Times New Roman" w:hAnsi="Times New Roman" w:cs="Times New Roman"/>
                <w:color w:val="000000" w:themeColor="text1"/>
                <w:sz w:val="18"/>
                <w:szCs w:val="18"/>
                <w14:textFill>
                  <w14:solidFill>
                    <w14:schemeClr w14:val="tx1"/>
                  </w14:solidFill>
                </w14:textFill>
              </w:rPr>
              <w:t>。</w:t>
            </w:r>
          </w:p>
          <w:p w14:paraId="3365BD85">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2.静脉给药：成人常用剂量一次25 mg。</w:t>
            </w:r>
            <w:r>
              <w:rPr>
                <w:rFonts w:ascii="Times New Roman" w:hAnsi="Times New Roman" w:cs="Times New Roman"/>
                <w:color w:val="000000" w:themeColor="text1"/>
                <w:sz w:val="18"/>
                <w:szCs w:val="18"/>
                <w:vertAlign w:val="superscript"/>
                <w14:textFill>
                  <w14:solidFill>
                    <w14:schemeClr w14:val="tx1"/>
                  </w14:solidFill>
                </w14:textFill>
              </w:rPr>
              <w:t>a</w:t>
            </w:r>
          </w:p>
        </w:tc>
        <w:tc>
          <w:tcPr>
            <w:tcW w:w="1218" w:type="dxa"/>
            <w:shd w:val="clear" w:color="auto" w:fill="auto"/>
            <w:vAlign w:val="center"/>
          </w:tcPr>
          <w:p w14:paraId="61246BD5">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出现黄疸或肝酶明显升高的患者应该停止用ACEI抑制剂治疗，并接受适当的医学随访。</w:t>
            </w:r>
            <w:r>
              <w:rPr>
                <w:rFonts w:ascii="Times New Roman" w:hAnsi="Times New Roman" w:cs="Times New Roman"/>
                <w:color w:val="000000" w:themeColor="text1"/>
                <w:sz w:val="18"/>
                <w:szCs w:val="18"/>
                <w:vertAlign w:val="superscript"/>
                <w14:textFill>
                  <w14:solidFill>
                    <w14:schemeClr w14:val="tx1"/>
                  </w14:solidFill>
                </w14:textFill>
              </w:rPr>
              <w:t>a</w:t>
            </w:r>
          </w:p>
        </w:tc>
        <w:tc>
          <w:tcPr>
            <w:tcW w:w="2423" w:type="dxa"/>
            <w:shd w:val="clear" w:color="auto" w:fill="auto"/>
            <w:vAlign w:val="center"/>
          </w:tcPr>
          <w:p w14:paraId="4D49C662">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肾功能不全时应采用较小剂量或较低的给药频率，缓慢递增；严重肾功能减退者禁用。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224C8F0C">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6E1872FC">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b：冠心病合理用药指南（第二版）</w:t>
            </w:r>
          </w:p>
          <w:p w14:paraId="3B000D28">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c：</w:t>
            </w:r>
            <w:r>
              <w:rPr>
                <w:rFonts w:ascii="Times New Roman" w:hAnsi="Times New Roman" w:cs="Times New Roman"/>
                <w:color w:val="000000" w:themeColor="text1"/>
                <w:kern w:val="0"/>
                <w:sz w:val="18"/>
                <w:szCs w:val="18"/>
                <w:lang w:bidi="ar"/>
                <w14:textFill>
                  <w14:solidFill>
                    <w14:schemeClr w14:val="tx1"/>
                  </w14:solidFill>
                </w14:textFill>
              </w:rPr>
              <w:t>临床用药须知2020</w:t>
            </w:r>
          </w:p>
        </w:tc>
      </w:tr>
      <w:tr w14:paraId="1751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4B594A2F">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30</w:t>
            </w:r>
          </w:p>
        </w:tc>
        <w:tc>
          <w:tcPr>
            <w:tcW w:w="1027" w:type="dxa"/>
            <w:shd w:val="clear" w:color="auto" w:fill="auto"/>
            <w:vAlign w:val="center"/>
          </w:tcPr>
          <w:p w14:paraId="3B7FD826">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依那普利</w:t>
            </w:r>
          </w:p>
        </w:tc>
        <w:tc>
          <w:tcPr>
            <w:tcW w:w="3565" w:type="dxa"/>
            <w:shd w:val="clear" w:color="auto" w:fill="auto"/>
            <w:vAlign w:val="center"/>
          </w:tcPr>
          <w:p w14:paraId="3293F2F0">
            <w:pPr>
              <w:widowControl/>
              <w:wordWrap w:val="0"/>
              <w:spacing w:line="240" w:lineRule="auto"/>
              <w:ind w:firstLine="0" w:firstLineChars="0"/>
              <w:textAlignment w:val="center"/>
              <w:rPr>
                <w:rFonts w:ascii="Times New Roman" w:hAnsi="Times New Roman" w:cs="Times New Roman"/>
                <w:color w:val="000000" w:themeColor="text1"/>
                <w:sz w:val="18"/>
                <w:szCs w:val="18"/>
                <w:vertAlign w:val="superscript"/>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初始剂量2.5 mg/d，维持剂量20 mg/d</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vertAlign w:val="superscript"/>
                <w14:textFill>
                  <w14:solidFill>
                    <w14:schemeClr w14:val="tx1"/>
                  </w14:solidFill>
                </w14:textFill>
              </w:rPr>
              <w:t>a</w:t>
            </w:r>
          </w:p>
          <w:p w14:paraId="70DB9F73">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最大剂量40 mg/d。</w:t>
            </w:r>
            <w:r>
              <w:rPr>
                <w:rFonts w:ascii="Times New Roman" w:hAnsi="Times New Roman" w:cs="Times New Roman"/>
                <w:color w:val="000000" w:themeColor="text1"/>
                <w:sz w:val="18"/>
                <w:szCs w:val="18"/>
                <w:vertAlign w:val="superscript"/>
                <w14:textFill>
                  <w14:solidFill>
                    <w14:schemeClr w14:val="tx1"/>
                  </w14:solidFill>
                </w14:textFill>
              </w:rPr>
              <w:t>b</w:t>
            </w:r>
          </w:p>
        </w:tc>
        <w:tc>
          <w:tcPr>
            <w:tcW w:w="1218" w:type="dxa"/>
            <w:shd w:val="clear" w:color="auto" w:fill="auto"/>
            <w:vAlign w:val="center"/>
          </w:tcPr>
          <w:p w14:paraId="3480FCCF">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尚不明确</w:t>
            </w:r>
            <w:r>
              <w:rPr>
                <w:rFonts w:hint="eastAsia" w:ascii="Times New Roman" w:hAnsi="Times New Roman" w:cs="Times New Roman"/>
                <w:color w:val="000000" w:themeColor="text1"/>
                <w:sz w:val="18"/>
                <w:szCs w:val="18"/>
                <w14:textFill>
                  <w14:solidFill>
                    <w14:schemeClr w14:val="tx1"/>
                  </w14:solidFill>
                </w14:textFill>
              </w:rPr>
              <w:t>。</w:t>
            </w:r>
          </w:p>
        </w:tc>
        <w:tc>
          <w:tcPr>
            <w:tcW w:w="2423" w:type="dxa"/>
            <w:shd w:val="clear" w:color="auto" w:fill="auto"/>
            <w:vAlign w:val="center"/>
          </w:tcPr>
          <w:p w14:paraId="536F58C1">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30＜CrCl＜80 ml/min，初始剂量5～10 mg/d；10＜CrCl</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30 ml/min，初始剂量2.5～5 mg/d；CrCl</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10 ml/min，初始剂量2.5 mg/d，密切监测肾功能。</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71ACCFDC">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0DAF0C68">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b：冠心病合理用药指南（第二版）</w:t>
            </w:r>
          </w:p>
          <w:p w14:paraId="0F7BB166">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p>
        </w:tc>
      </w:tr>
      <w:tr w14:paraId="1C42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25B809FC">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31</w:t>
            </w:r>
          </w:p>
        </w:tc>
        <w:tc>
          <w:tcPr>
            <w:tcW w:w="1027" w:type="dxa"/>
            <w:shd w:val="clear" w:color="auto" w:fill="auto"/>
            <w:vAlign w:val="center"/>
          </w:tcPr>
          <w:p w14:paraId="2063C6BD">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赖诺普利</w:t>
            </w:r>
          </w:p>
        </w:tc>
        <w:tc>
          <w:tcPr>
            <w:tcW w:w="3565" w:type="dxa"/>
            <w:shd w:val="clear" w:color="auto" w:fill="auto"/>
            <w:vAlign w:val="center"/>
          </w:tcPr>
          <w:p w14:paraId="2ECC115C">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1.心力衰竭：</w:t>
            </w:r>
          </w:p>
          <w:p w14:paraId="65C2C1F3">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初始剂量2.5 mg，每日1次。一般有效剂量范围是每日1次，每次5</w:t>
            </w:r>
            <w:r>
              <w:rPr>
                <w:rFonts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20 mg。</w:t>
            </w:r>
          </w:p>
          <w:p w14:paraId="7B9764B6">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2.急性心梗：</w:t>
            </w:r>
          </w:p>
          <w:p w14:paraId="79FF875C">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首次剂量5 mg口服，24</w:t>
            </w:r>
            <w:r>
              <w:rPr>
                <w:rFonts w:hint="eastAsia" w:ascii="Times New Roman" w:hAnsi="Times New Roman" w:cs="Times New Roman"/>
                <w:color w:val="000000" w:themeColor="text1"/>
                <w:sz w:val="18"/>
                <w:szCs w:val="18"/>
                <w14:textFill>
                  <w14:solidFill>
                    <w14:schemeClr w14:val="tx1"/>
                  </w14:solidFill>
                </w14:textFill>
              </w:rPr>
              <w:t xml:space="preserve"> h</w:t>
            </w:r>
            <w:r>
              <w:rPr>
                <w:rFonts w:ascii="Times New Roman" w:hAnsi="Times New Roman" w:cs="Times New Roman"/>
                <w:color w:val="000000" w:themeColor="text1"/>
                <w:sz w:val="18"/>
                <w:szCs w:val="18"/>
                <w14:textFill>
                  <w14:solidFill>
                    <w14:schemeClr w14:val="tx1"/>
                  </w14:solidFill>
                </w14:textFill>
              </w:rPr>
              <w:t>后及48</w:t>
            </w:r>
            <w:r>
              <w:rPr>
                <w:rFonts w:hint="eastAsia" w:ascii="Times New Roman" w:hAnsi="Times New Roman" w:cs="Times New Roman"/>
                <w:color w:val="000000" w:themeColor="text1"/>
                <w:sz w:val="18"/>
                <w:szCs w:val="18"/>
                <w14:textFill>
                  <w14:solidFill>
                    <w14:schemeClr w14:val="tx1"/>
                  </w14:solidFill>
                </w14:textFill>
              </w:rPr>
              <w:t xml:space="preserve"> h</w:t>
            </w:r>
            <w:r>
              <w:rPr>
                <w:rFonts w:ascii="Times New Roman" w:hAnsi="Times New Roman" w:cs="Times New Roman"/>
                <w:color w:val="000000" w:themeColor="text1"/>
                <w:sz w:val="18"/>
                <w:szCs w:val="18"/>
                <w14:textFill>
                  <w14:solidFill>
                    <w14:schemeClr w14:val="tx1"/>
                  </w14:solidFill>
                </w14:textFill>
              </w:rPr>
              <w:t>后再分别给与5 mg、10 mg口服，随后一日1次，一次10 mg口服。</w:t>
            </w:r>
            <w:r>
              <w:rPr>
                <w:rFonts w:ascii="Times New Roman" w:hAnsi="Times New Roman" w:cs="Times New Roman"/>
                <w:color w:val="000000" w:themeColor="text1"/>
                <w:sz w:val="18"/>
                <w:szCs w:val="18"/>
                <w:vertAlign w:val="superscript"/>
                <w14:textFill>
                  <w14:solidFill>
                    <w14:schemeClr w14:val="tx1"/>
                  </w14:solidFill>
                </w14:textFill>
              </w:rPr>
              <w:t>a</w:t>
            </w:r>
          </w:p>
        </w:tc>
        <w:tc>
          <w:tcPr>
            <w:tcW w:w="1218" w:type="dxa"/>
            <w:shd w:val="clear" w:color="auto" w:fill="auto"/>
            <w:vAlign w:val="center"/>
          </w:tcPr>
          <w:p w14:paraId="5AF8CE54">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接受本品的患者若出现黄疸或肝酶明显升高时应停用本品。</w:t>
            </w:r>
            <w:r>
              <w:rPr>
                <w:rFonts w:ascii="Times New Roman" w:hAnsi="Times New Roman" w:cs="Times New Roman"/>
                <w:color w:val="000000" w:themeColor="text1"/>
                <w:sz w:val="18"/>
                <w:szCs w:val="18"/>
                <w:vertAlign w:val="superscript"/>
                <w14:textFill>
                  <w14:solidFill>
                    <w14:schemeClr w14:val="tx1"/>
                  </w14:solidFill>
                </w14:textFill>
              </w:rPr>
              <w:t>a</w:t>
            </w:r>
          </w:p>
        </w:tc>
        <w:tc>
          <w:tcPr>
            <w:tcW w:w="2423" w:type="dxa"/>
            <w:shd w:val="clear" w:color="auto" w:fill="auto"/>
            <w:vAlign w:val="center"/>
          </w:tcPr>
          <w:p w14:paraId="16105ABD">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31＜CrCl＜80 ml/min，初始剂量5～10 mg/日；10＜CrCl</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30 ml/min，初始剂量2.5～5 mg/日；CrCl</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10 ml/min，初始剂量2.5 mg/日。</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0C75BF8F">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55AF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3D8BEA88">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32</w:t>
            </w:r>
          </w:p>
        </w:tc>
        <w:tc>
          <w:tcPr>
            <w:tcW w:w="1027" w:type="dxa"/>
            <w:shd w:val="clear" w:color="auto" w:fill="auto"/>
            <w:vAlign w:val="center"/>
          </w:tcPr>
          <w:p w14:paraId="3BB1305C">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贝那普利</w:t>
            </w:r>
          </w:p>
        </w:tc>
        <w:tc>
          <w:tcPr>
            <w:tcW w:w="3565" w:type="dxa"/>
            <w:shd w:val="clear" w:color="auto" w:fill="auto"/>
            <w:vAlign w:val="center"/>
          </w:tcPr>
          <w:p w14:paraId="179901CE">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初始剂量2.5 mg，每日1次；只要患者未出现症状性的低血压及其它不可接受的副反应，如果心衰的症状未能有效缓解可在2～4周后将剂量调整为5 mg</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一日1次。根据患者的临床反应，可以在适当的时间间隔内将剂量调整为10 mg一日1次甚至20 mg一日1次。</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63E70125">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肝功能不全时慎用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c</w:t>
            </w:r>
            <w:r>
              <w:rPr>
                <w:rFonts w:ascii="Times New Roman" w:hAnsi="Times New Roman" w:cs="Times New Roman"/>
                <w:color w:val="000000" w:themeColor="text1"/>
                <w:kern w:val="0"/>
                <w:sz w:val="18"/>
                <w:szCs w:val="18"/>
                <w:lang w:bidi="ar"/>
                <w14:textFill>
                  <w14:solidFill>
                    <w14:schemeClr w14:val="tx1"/>
                  </w14:solidFill>
                </w14:textFill>
              </w:rPr>
              <w:t>；接受本品的患者若出现黄疸或肝药酶明显升高应停用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3023C2F5">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CrCl</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30 ml/min，无需调整剂量；CrCl＜30 ml/min时，初始剂量是5 mg/天，可增加至10 mg/天；孤立肾、移植肾、双侧肾动脉狭窄而肾功能减退者禁用。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66FAF4A9">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4488F86C">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c：</w:t>
            </w:r>
            <w:r>
              <w:rPr>
                <w:rFonts w:ascii="Times New Roman" w:hAnsi="Times New Roman" w:cs="Times New Roman"/>
                <w:color w:val="000000" w:themeColor="text1"/>
                <w:kern w:val="0"/>
                <w:sz w:val="18"/>
                <w:szCs w:val="18"/>
                <w:lang w:bidi="ar"/>
                <w14:textFill>
                  <w14:solidFill>
                    <w14:schemeClr w14:val="tx1"/>
                  </w14:solidFill>
                </w14:textFill>
              </w:rPr>
              <w:t>临床用药须知2020</w:t>
            </w:r>
          </w:p>
        </w:tc>
      </w:tr>
      <w:tr w14:paraId="4046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395875CD">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33</w:t>
            </w:r>
          </w:p>
        </w:tc>
        <w:tc>
          <w:tcPr>
            <w:tcW w:w="1027" w:type="dxa"/>
            <w:shd w:val="clear" w:color="auto" w:fill="auto"/>
            <w:vAlign w:val="center"/>
          </w:tcPr>
          <w:p w14:paraId="11AC0BD2">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福辛普利</w:t>
            </w:r>
          </w:p>
        </w:tc>
        <w:tc>
          <w:tcPr>
            <w:tcW w:w="3565" w:type="dxa"/>
            <w:shd w:val="clear" w:color="auto" w:fill="auto"/>
            <w:vAlign w:val="center"/>
          </w:tcPr>
          <w:p w14:paraId="104E42AC">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初始剂量10 mg，每日1次。如果患者能很好耐受，则根据患者的临床反应每周逐渐增量，最大剂量为40 mg。</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2560699F">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接受本品的患者若出现黄疸或肝药酶明显升高应停用；肝功能减退患者无需调整剂量。</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7EC0C7E2">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肾功能减退患者无需调整剂量</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44C1221C">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7B2A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3" w:type="dxa"/>
            <w:gridSpan w:val="6"/>
          </w:tcPr>
          <w:p w14:paraId="69C9BB7B">
            <w:pPr>
              <w:pStyle w:val="89"/>
              <w:rPr>
                <w:rFonts w:ascii="Times New Roman" w:hAnsi="Times New Roman" w:eastAsia="宋体" w:cs="Times New Roman"/>
                <w:b w:val="0"/>
                <w:bCs w:val="0"/>
                <w:color w:val="000000" w:themeColor="text1"/>
                <w14:textFill>
                  <w14:solidFill>
                    <w14:schemeClr w14:val="tx1"/>
                  </w14:solidFill>
                </w14:textFill>
              </w:rPr>
            </w:pPr>
            <w:r>
              <w:rPr>
                <w:rFonts w:ascii="Times New Roman" w:hAnsi="Times New Roman" w:eastAsia="宋体" w:cs="Times New Roman"/>
                <w:b w:val="0"/>
                <w:bCs w:val="0"/>
                <w:color w:val="000000" w:themeColor="text1"/>
                <w:kern w:val="0"/>
                <w:sz w:val="18"/>
                <w:szCs w:val="18"/>
                <w:lang w:bidi="ar"/>
                <w14:textFill>
                  <w14:solidFill>
                    <w14:schemeClr w14:val="tx1"/>
                  </w14:solidFill>
                </w14:textFill>
              </w:rPr>
              <w:t>ARB类药物（改善心肌重构）</w:t>
            </w:r>
          </w:p>
        </w:tc>
      </w:tr>
      <w:tr w14:paraId="533A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2160F629">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34</w:t>
            </w:r>
          </w:p>
        </w:tc>
        <w:tc>
          <w:tcPr>
            <w:tcW w:w="1027" w:type="dxa"/>
            <w:shd w:val="clear" w:color="auto" w:fill="auto"/>
            <w:vAlign w:val="center"/>
          </w:tcPr>
          <w:p w14:paraId="1FD03A92">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厄贝沙坦</w:t>
            </w:r>
          </w:p>
        </w:tc>
        <w:tc>
          <w:tcPr>
            <w:tcW w:w="3565" w:type="dxa"/>
            <w:shd w:val="clear" w:color="auto" w:fill="auto"/>
            <w:vAlign w:val="center"/>
          </w:tcPr>
          <w:p w14:paraId="1263A4F2">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初始剂量和维持剂量为150 mg/d，饮食对服药无影响。最大剂量为300 mg/d。</w:t>
            </w:r>
          </w:p>
          <w:p w14:paraId="13BB8A58">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年龄＞75岁的老年患者，初始剂量可考虑用75 mg/d。</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1CB70ED0">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轻中度肝功能损害的患者无需调整剂量，严重肝功能损害患者无临床经验。</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35C007EC">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肾功能损害患者无需调整剂量，但对血液透析的患者，初始剂量可考虑使用低剂量75 mg。</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22FCB1B7">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29E8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08B9C7E5">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35</w:t>
            </w:r>
          </w:p>
        </w:tc>
        <w:tc>
          <w:tcPr>
            <w:tcW w:w="1027" w:type="dxa"/>
            <w:shd w:val="clear" w:color="auto" w:fill="auto"/>
            <w:vAlign w:val="center"/>
          </w:tcPr>
          <w:p w14:paraId="5A3662D9">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氯沙坦钾</w:t>
            </w:r>
          </w:p>
        </w:tc>
        <w:tc>
          <w:tcPr>
            <w:tcW w:w="3565" w:type="dxa"/>
            <w:shd w:val="clear" w:color="auto" w:fill="auto"/>
            <w:vAlign w:val="center"/>
          </w:tcPr>
          <w:p w14:paraId="737B03AF">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初始剂量12.5 mg/d，每日1次。通常根据每个患者耐受情况以周为间隔逐渐递增剂量，直至达到该患者可以耐受的最大剂量，最大剂量为150 mg/d。</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51493D25">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肝硬化或肝功能障碍患者慎用，肝功能损害病史患者应考虑较低剂量，重度肝功能损害患者禁用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01BB95ED">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肾功能损害患者包括透析患者，不需调整初始剂量；双侧肾动脉狭窄或孤立肾动脉狭窄的患者慎用。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147364A4">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2FA0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5BBF4EB1">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3</w:t>
            </w:r>
            <w:r>
              <w:rPr>
                <w:rFonts w:hint="eastAsia" w:ascii="Times New Roman" w:hAnsi="Times New Roman" w:cs="Times New Roman"/>
                <w:color w:val="000000" w:themeColor="text1"/>
                <w:kern w:val="0"/>
                <w:sz w:val="18"/>
                <w:szCs w:val="18"/>
                <w:lang w:bidi="ar"/>
                <w14:textFill>
                  <w14:solidFill>
                    <w14:schemeClr w14:val="tx1"/>
                  </w14:solidFill>
                </w14:textFill>
              </w:rPr>
              <w:t>6</w:t>
            </w:r>
          </w:p>
        </w:tc>
        <w:tc>
          <w:tcPr>
            <w:tcW w:w="1027" w:type="dxa"/>
            <w:shd w:val="clear" w:color="auto" w:fill="auto"/>
            <w:vAlign w:val="center"/>
          </w:tcPr>
          <w:p w14:paraId="553AB76A">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缬沙坦</w:t>
            </w:r>
          </w:p>
        </w:tc>
        <w:tc>
          <w:tcPr>
            <w:tcW w:w="3565" w:type="dxa"/>
            <w:shd w:val="clear" w:color="auto" w:fill="auto"/>
            <w:vAlign w:val="center"/>
          </w:tcPr>
          <w:p w14:paraId="489B328D">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80或160 mg/d，每日1次</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最大剂量为320 mg/d。</w:t>
            </w:r>
            <w:r>
              <w:rPr>
                <w:rFonts w:ascii="Times New Roman" w:hAnsi="Times New Roman" w:cs="Times New Roman"/>
                <w:color w:val="000000" w:themeColor="text1"/>
                <w:kern w:val="0"/>
                <w:sz w:val="18"/>
                <w:szCs w:val="18"/>
                <w:vertAlign w:val="superscript"/>
                <w:lang w:bidi="ar"/>
                <w14:textFill>
                  <w14:solidFill>
                    <w14:schemeClr w14:val="tx1"/>
                  </w14:solidFill>
                </w14:textFill>
              </w:rPr>
              <w:t>b</w:t>
            </w:r>
          </w:p>
        </w:tc>
        <w:tc>
          <w:tcPr>
            <w:tcW w:w="1218" w:type="dxa"/>
            <w:shd w:val="clear" w:color="auto" w:fill="auto"/>
            <w:vAlign w:val="center"/>
          </w:tcPr>
          <w:p w14:paraId="04EF2B49">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非胆管源性及无胆汁淤积的轻中度肝功能损害者无需调整剂量。</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665C3DC0">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轻中度肾功能损害者无需调整</w:t>
            </w:r>
            <w:r>
              <w:rPr>
                <w:rFonts w:ascii="Times New Roman" w:hAnsi="Times New Roman" w:cs="Times New Roman"/>
                <w:color w:val="000000" w:themeColor="text1"/>
                <w:kern w:val="0"/>
                <w:sz w:val="18"/>
                <w:szCs w:val="18"/>
                <w:lang w:bidi="ar"/>
                <w14:textFill>
                  <w14:solidFill>
                    <w14:schemeClr w14:val="tx1"/>
                  </w14:solidFill>
                </w14:textFill>
              </w:rPr>
              <w:t>初</w:t>
            </w:r>
            <w:r>
              <w:rPr>
                <w:rFonts w:ascii="Times New Roman" w:hAnsi="Times New Roman" w:cs="Times New Roman"/>
                <w:color w:val="000000" w:themeColor="text1"/>
                <w:sz w:val="18"/>
                <w:szCs w:val="18"/>
                <w14:textFill>
                  <w14:solidFill>
                    <w14:schemeClr w14:val="tx1"/>
                  </w14:solidFill>
                </w14:textFill>
              </w:rPr>
              <w:t>始剂量；重度肾功能衰竭（CrCl＜30 ml/min）患者禁用。</w:t>
            </w:r>
            <w:r>
              <w:rPr>
                <w:rFonts w:ascii="Times New Roman" w:hAnsi="Times New Roman" w:cs="Times New Roman"/>
                <w:color w:val="000000" w:themeColor="text1"/>
                <w:sz w:val="18"/>
                <w:szCs w:val="18"/>
                <w:vertAlign w:val="superscript"/>
                <w14:textFill>
                  <w14:solidFill>
                    <w14:schemeClr w14:val="tx1"/>
                  </w14:solidFill>
                </w14:textFill>
              </w:rPr>
              <w:t>a</w:t>
            </w:r>
          </w:p>
        </w:tc>
        <w:tc>
          <w:tcPr>
            <w:tcW w:w="1529" w:type="dxa"/>
            <w:shd w:val="clear" w:color="auto" w:fill="auto"/>
            <w:vAlign w:val="center"/>
          </w:tcPr>
          <w:p w14:paraId="7BB9CB5C">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21BB75BF">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b：</w:t>
            </w:r>
            <w:r>
              <w:rPr>
                <w:rFonts w:hint="eastAsia" w:ascii="Times New Roman" w:hAnsi="Times New Roman" w:cs="Times New Roman"/>
                <w:color w:val="000000" w:themeColor="text1"/>
                <w:kern w:val="0"/>
                <w:sz w:val="18"/>
                <w:szCs w:val="18"/>
                <w:lang w:bidi="ar"/>
                <w14:textFill>
                  <w14:solidFill>
                    <w14:schemeClr w14:val="tx1"/>
                  </w14:solidFill>
                </w14:textFill>
              </w:rPr>
              <w:t>冠心病合理用药指南（第二版）</w:t>
            </w:r>
          </w:p>
        </w:tc>
      </w:tr>
      <w:tr w14:paraId="4600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480395EC">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3</w:t>
            </w:r>
            <w:r>
              <w:rPr>
                <w:rFonts w:hint="eastAsia" w:ascii="Times New Roman" w:hAnsi="Times New Roman" w:cs="Times New Roman"/>
                <w:color w:val="000000" w:themeColor="text1"/>
                <w:kern w:val="0"/>
                <w:sz w:val="18"/>
                <w:szCs w:val="18"/>
                <w:lang w:bidi="ar"/>
                <w14:textFill>
                  <w14:solidFill>
                    <w14:schemeClr w14:val="tx1"/>
                  </w14:solidFill>
                </w14:textFill>
              </w:rPr>
              <w:t>7</w:t>
            </w:r>
          </w:p>
        </w:tc>
        <w:tc>
          <w:tcPr>
            <w:tcW w:w="1027" w:type="dxa"/>
            <w:shd w:val="clear" w:color="auto" w:fill="auto"/>
            <w:vAlign w:val="center"/>
          </w:tcPr>
          <w:p w14:paraId="4C9B5D85">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替米沙坦</w:t>
            </w:r>
          </w:p>
        </w:tc>
        <w:tc>
          <w:tcPr>
            <w:tcW w:w="3565" w:type="dxa"/>
            <w:shd w:val="clear" w:color="auto" w:fill="auto"/>
            <w:vAlign w:val="center"/>
          </w:tcPr>
          <w:p w14:paraId="7F5F8889">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40 mg或80 mg/次，一日1次。</w:t>
            </w:r>
            <w:r>
              <w:rPr>
                <w:rFonts w:hint="eastAsia"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0F05EC14">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轻中度肝功能不全，慎用，日剂量不应过40 mg；严重肝功能不全者禁用。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713E7BED">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轻中度肾功能不全不需调整剂量；严重肾功能不全者（</w:t>
            </w:r>
            <w:r>
              <w:rPr>
                <w:rFonts w:ascii="Times New Roman" w:hAnsi="Times New Roman" w:cs="Times New Roman"/>
                <w:color w:val="000000" w:themeColor="text1"/>
                <w:sz w:val="18"/>
                <w:szCs w:val="18"/>
                <w14:textFill>
                  <w14:solidFill>
                    <w14:schemeClr w14:val="tx1"/>
                  </w14:solidFill>
                </w14:textFill>
              </w:rPr>
              <w:t>CrCl＜</w:t>
            </w:r>
            <w:r>
              <w:rPr>
                <w:rFonts w:ascii="Times New Roman" w:hAnsi="Times New Roman" w:cs="Times New Roman"/>
                <w:color w:val="000000" w:themeColor="text1"/>
                <w:kern w:val="0"/>
                <w:sz w:val="18"/>
                <w:szCs w:val="18"/>
                <w:lang w:bidi="ar"/>
                <w14:textFill>
                  <w14:solidFill>
                    <w14:schemeClr w14:val="tx1"/>
                  </w14:solidFill>
                </w14:textFill>
              </w:rPr>
              <w:t>30 ml/min）禁用。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052529F0">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7DC692F5">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b：</w:t>
            </w:r>
            <w:r>
              <w:rPr>
                <w:rFonts w:hint="eastAsia" w:ascii="Times New Roman" w:hAnsi="Times New Roman" w:cs="Times New Roman"/>
                <w:color w:val="000000" w:themeColor="text1"/>
                <w:kern w:val="0"/>
                <w:sz w:val="18"/>
                <w:szCs w:val="18"/>
                <w:lang w:bidi="ar"/>
                <w14:textFill>
                  <w14:solidFill>
                    <w14:schemeClr w14:val="tx1"/>
                  </w14:solidFill>
                </w14:textFill>
              </w:rPr>
              <w:t>冠心病合理用药指南（第二版）</w:t>
            </w:r>
          </w:p>
        </w:tc>
      </w:tr>
      <w:tr w14:paraId="5D8C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3" w:type="dxa"/>
            <w:gridSpan w:val="6"/>
          </w:tcPr>
          <w:p w14:paraId="24BC0EB1">
            <w:pPr>
              <w:pStyle w:val="89"/>
              <w:rPr>
                <w:rFonts w:ascii="Times New Roman" w:hAnsi="Times New Roman" w:eastAsia="宋体" w:cs="Times New Roman"/>
                <w:b w:val="0"/>
                <w:bCs w:val="0"/>
                <w:color w:val="000000" w:themeColor="text1"/>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bidi="ar"/>
                <w14:textFill>
                  <w14:solidFill>
                    <w14:schemeClr w14:val="tx1"/>
                  </w14:solidFill>
                </w14:textFill>
              </w:rPr>
              <w:t>ARNI药物</w:t>
            </w:r>
          </w:p>
        </w:tc>
      </w:tr>
      <w:tr w14:paraId="4D23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6DAED680">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3</w:t>
            </w:r>
            <w:r>
              <w:rPr>
                <w:rFonts w:hint="eastAsia" w:ascii="Times New Roman" w:hAnsi="Times New Roman" w:cs="Times New Roman"/>
                <w:color w:val="000000" w:themeColor="text1"/>
                <w:kern w:val="0"/>
                <w:sz w:val="18"/>
                <w:szCs w:val="18"/>
                <w:lang w:bidi="ar"/>
                <w14:textFill>
                  <w14:solidFill>
                    <w14:schemeClr w14:val="tx1"/>
                  </w14:solidFill>
                </w14:textFill>
              </w:rPr>
              <w:t>8</w:t>
            </w:r>
          </w:p>
        </w:tc>
        <w:tc>
          <w:tcPr>
            <w:tcW w:w="1027" w:type="dxa"/>
            <w:shd w:val="clear" w:color="auto" w:fill="auto"/>
            <w:vAlign w:val="center"/>
          </w:tcPr>
          <w:p w14:paraId="6767EDAD">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沙库巴曲缬沙坦</w:t>
            </w:r>
          </w:p>
        </w:tc>
        <w:tc>
          <w:tcPr>
            <w:tcW w:w="3565" w:type="dxa"/>
            <w:shd w:val="clear" w:color="auto" w:fill="auto"/>
            <w:vAlign w:val="center"/>
          </w:tcPr>
          <w:p w14:paraId="1915E562">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初始剂量为100 mg/次，一日2次。在目前未服用ACEI或ARB的患者或服用低剂量上述药物的患者中，推荐本品的初始剂量为50 mg/次，一日2次。根据患者耐受情况，本品剂量应该每2至4周倍增一次，直至达到200 mg/次，一日2次的目标维持剂量。</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780DAAC7">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轻度肝功能损害（Child-Pugh A级）患者不需要调整起始剂量。中度肝功能损害（Child-Pugh B级）的射血分数降低的慢性心力衰竭患者的推荐起始剂量为每次50 mg，每天两次。在患者能够耐受的情况下，可以每2～4周倍增一次本品剂量，直至达到目标维持剂量每次200 mg，每天两次。中度肝功能损害（Child-Pugh B 级）的原发性高血压患者的推荐起始剂量为每次100 mg，每天</w:t>
            </w:r>
            <w:r>
              <w:rPr>
                <w:rFonts w:hint="eastAsia" w:ascii="Times New Roman" w:hAnsi="Times New Roman" w:cs="Times New Roman"/>
                <w:color w:val="000000" w:themeColor="text1"/>
                <w:kern w:val="0"/>
                <w:sz w:val="18"/>
                <w:szCs w:val="18"/>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次。不推荐重度肝功能损害（Child-Pugh C级）患者应用本品</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3F5D8DC1">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轻度肾功能损害</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eGFR 60～90 mL/min/1.73m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的射血分数降低的慢性心力衰竭患者不需要调整剂量。</w:t>
            </w:r>
          </w:p>
          <w:p w14:paraId="0313E987">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中度肾功能损害(eGFR 30～60 mL/min/1.73m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)的射血分数降低的慢性心力哀竭患者中推荐起始剂量为每次50</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w:t>
            </w:r>
            <w:r>
              <w:rPr>
                <w:rFonts w:ascii="Times New Roman" w:hAnsi="Times New Roman" w:cs="Times New Roman"/>
                <w:color w:val="000000" w:themeColor="text1"/>
                <w:kern w:val="0"/>
                <w:sz w:val="18"/>
                <w:szCs w:val="18"/>
                <w:lang w:bidi="ar"/>
                <w14:textFill>
                  <w14:solidFill>
                    <w14:schemeClr w14:val="tx1"/>
                  </w14:solidFill>
                </w14:textFill>
              </w:rPr>
              <w:t>mg，每天两次。由于在重度肾功能损害患者(eGFR</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30 mL/min/1.73m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)中的用药经验非常有限，因此这类患者应慎用本品，推荐起始剂量为每次50</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w:t>
            </w:r>
            <w:r>
              <w:rPr>
                <w:rFonts w:ascii="Times New Roman" w:hAnsi="Times New Roman" w:cs="Times New Roman"/>
                <w:color w:val="000000" w:themeColor="text1"/>
                <w:kern w:val="0"/>
                <w:sz w:val="18"/>
                <w:szCs w:val="18"/>
                <w:lang w:bidi="ar"/>
                <w14:textFill>
                  <w14:solidFill>
                    <w14:schemeClr w14:val="tx1"/>
                  </w14:solidFill>
                </w14:textFill>
              </w:rPr>
              <w:t>mg，每天</w:t>
            </w:r>
            <w:r>
              <w:rPr>
                <w:rFonts w:hint="eastAsia" w:ascii="Times New Roman" w:hAnsi="Times New Roman" w:cs="Times New Roman"/>
                <w:color w:val="000000" w:themeColor="text1"/>
                <w:kern w:val="0"/>
                <w:sz w:val="18"/>
                <w:szCs w:val="18"/>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次。</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2DF28D4D">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037D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3" w:type="dxa"/>
            <w:gridSpan w:val="6"/>
          </w:tcPr>
          <w:p w14:paraId="689A5360">
            <w:pPr>
              <w:pStyle w:val="89"/>
              <w:rPr>
                <w:rFonts w:ascii="Times New Roman" w:hAnsi="Times New Roman" w:eastAsia="宋体" w:cs="Times New Roman"/>
                <w:b w:val="0"/>
                <w:bCs w:val="0"/>
                <w:color w:val="000000" w:themeColor="text1"/>
                <w14:textFill>
                  <w14:solidFill>
                    <w14:schemeClr w14:val="tx1"/>
                  </w14:solidFill>
                </w14:textFill>
              </w:rPr>
            </w:pPr>
            <w:r>
              <w:rPr>
                <w:rFonts w:ascii="Times New Roman" w:hAnsi="Times New Roman" w:eastAsia="宋体" w:cs="Times New Roman"/>
                <w:b w:val="0"/>
                <w:bCs w:val="0"/>
                <w:color w:val="000000" w:themeColor="text1"/>
                <w:kern w:val="0"/>
                <w:sz w:val="18"/>
                <w:szCs w:val="18"/>
                <w:lang w:bidi="ar"/>
                <w14:textFill>
                  <w14:solidFill>
                    <w14:schemeClr w14:val="tx1"/>
                  </w14:solidFill>
                </w14:textFill>
              </w:rPr>
              <w:t>溶栓药物（急性冠脉综合征）</w:t>
            </w:r>
          </w:p>
        </w:tc>
      </w:tr>
      <w:tr w14:paraId="0523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00246A17">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3</w:t>
            </w:r>
            <w:r>
              <w:rPr>
                <w:rFonts w:hint="eastAsia" w:ascii="Times New Roman" w:hAnsi="Times New Roman" w:cs="Times New Roman"/>
                <w:color w:val="000000" w:themeColor="text1"/>
                <w:kern w:val="0"/>
                <w:sz w:val="18"/>
                <w:szCs w:val="18"/>
                <w:lang w:bidi="ar"/>
                <w14:textFill>
                  <w14:solidFill>
                    <w14:schemeClr w14:val="tx1"/>
                  </w14:solidFill>
                </w14:textFill>
              </w:rPr>
              <w:t>9</w:t>
            </w:r>
          </w:p>
        </w:tc>
        <w:tc>
          <w:tcPr>
            <w:tcW w:w="1027" w:type="dxa"/>
            <w:shd w:val="clear" w:color="auto" w:fill="auto"/>
            <w:vAlign w:val="center"/>
          </w:tcPr>
          <w:p w14:paraId="1006B027">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链激酶</w:t>
            </w:r>
          </w:p>
        </w:tc>
        <w:tc>
          <w:tcPr>
            <w:tcW w:w="3565" w:type="dxa"/>
            <w:shd w:val="clear" w:color="auto" w:fill="auto"/>
            <w:vAlign w:val="center"/>
          </w:tcPr>
          <w:p w14:paraId="6BA079B2">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STEMI患者：一般推荐本品150万IU溶解于5%葡萄糖100 ml，静脉滴注1</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。急性心肌梗塞溶栓治疗应尽早开始，争取发病12 h内开始治疗。对于特殊患者（如体重过低或明显超重），医生可根据具体情况适当增减剂量（按2万IU/kg体重计）。</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06698C59">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严重肝功能障碍患者禁用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1A39E091">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严重肾功能障碍患者禁用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3968D0ED">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60E7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4B978273">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40</w:t>
            </w:r>
          </w:p>
        </w:tc>
        <w:tc>
          <w:tcPr>
            <w:tcW w:w="1027" w:type="dxa"/>
            <w:shd w:val="clear" w:color="auto" w:fill="auto"/>
            <w:vAlign w:val="center"/>
          </w:tcPr>
          <w:p w14:paraId="0E7451DE">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尿激酶</w:t>
            </w:r>
          </w:p>
        </w:tc>
        <w:tc>
          <w:tcPr>
            <w:tcW w:w="3565" w:type="dxa"/>
            <w:shd w:val="clear" w:color="auto" w:fill="auto"/>
            <w:vAlign w:val="center"/>
          </w:tcPr>
          <w:p w14:paraId="1F756E31">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STEMI患者：以0.9%氯化钠溶液配制后，按6000单位/分的速度冠状动脉内连续滴注2 h，滴注前应先行静脉给予肝素2500～10000单位。也可将本品200万～300万单位配制后静脉滴注，45～90</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min</w:t>
            </w:r>
            <w:r>
              <w:rPr>
                <w:rFonts w:ascii="Times New Roman" w:hAnsi="Times New Roman" w:cs="Times New Roman"/>
                <w:color w:val="000000" w:themeColor="text1"/>
                <w:kern w:val="0"/>
                <w:sz w:val="18"/>
                <w:szCs w:val="18"/>
                <w:lang w:bidi="ar"/>
                <w14:textFill>
                  <w14:solidFill>
                    <w14:schemeClr w14:val="tx1"/>
                  </w14:solidFill>
                </w14:textFill>
              </w:rPr>
              <w:t>滴完。</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77111EA5">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尚不明确</w:t>
            </w:r>
            <w:r>
              <w:rPr>
                <w:rFonts w:hint="eastAsia" w:ascii="Times New Roman" w:hAnsi="Times New Roman" w:cs="Times New Roman"/>
                <w:color w:val="000000" w:themeColor="text1"/>
                <w:sz w:val="18"/>
                <w:szCs w:val="18"/>
                <w14:textFill>
                  <w14:solidFill>
                    <w14:schemeClr w14:val="tx1"/>
                  </w14:solidFill>
                </w14:textFill>
              </w:rPr>
              <w:t>。</w:t>
            </w:r>
          </w:p>
        </w:tc>
        <w:tc>
          <w:tcPr>
            <w:tcW w:w="2423" w:type="dxa"/>
            <w:shd w:val="clear" w:color="auto" w:fill="auto"/>
            <w:vAlign w:val="center"/>
          </w:tcPr>
          <w:p w14:paraId="66D19FC4">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尚不明确</w:t>
            </w:r>
            <w:r>
              <w:rPr>
                <w:rFonts w:hint="eastAsia" w:ascii="Times New Roman" w:hAnsi="Times New Roman" w:cs="Times New Roman"/>
                <w:color w:val="000000" w:themeColor="text1"/>
                <w:sz w:val="18"/>
                <w:szCs w:val="18"/>
                <w14:textFill>
                  <w14:solidFill>
                    <w14:schemeClr w14:val="tx1"/>
                  </w14:solidFill>
                </w14:textFill>
              </w:rPr>
              <w:t>。</w:t>
            </w:r>
          </w:p>
        </w:tc>
        <w:tc>
          <w:tcPr>
            <w:tcW w:w="1529" w:type="dxa"/>
            <w:shd w:val="clear" w:color="auto" w:fill="auto"/>
            <w:vAlign w:val="center"/>
          </w:tcPr>
          <w:p w14:paraId="12EB1DEA">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1155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23F08718">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41</w:t>
            </w:r>
          </w:p>
        </w:tc>
        <w:tc>
          <w:tcPr>
            <w:tcW w:w="1027" w:type="dxa"/>
            <w:shd w:val="clear" w:color="auto" w:fill="auto"/>
            <w:vAlign w:val="center"/>
          </w:tcPr>
          <w:p w14:paraId="5D7B5B77">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阿替普酶</w:t>
            </w:r>
          </w:p>
        </w:tc>
        <w:tc>
          <w:tcPr>
            <w:tcW w:w="3565" w:type="dxa"/>
            <w:shd w:val="clear" w:color="auto" w:fill="auto"/>
            <w:vAlign w:val="center"/>
          </w:tcPr>
          <w:p w14:paraId="6070C376">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STEMI患者：首先静脉注射15 mg，继之于30</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min</w:t>
            </w:r>
            <w:r>
              <w:rPr>
                <w:rFonts w:ascii="Times New Roman" w:hAnsi="Times New Roman" w:cs="Times New Roman"/>
                <w:color w:val="000000" w:themeColor="text1"/>
                <w:kern w:val="0"/>
                <w:sz w:val="18"/>
                <w:szCs w:val="18"/>
                <w:lang w:bidi="ar"/>
                <w14:textFill>
                  <w14:solidFill>
                    <w14:schemeClr w14:val="tx1"/>
                  </w14:solidFill>
                </w14:textFill>
              </w:rPr>
              <w:t>内静脉滴注0.75 mg/kg（＜50 mg），再于60</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min</w:t>
            </w:r>
            <w:r>
              <w:rPr>
                <w:rFonts w:ascii="Times New Roman" w:hAnsi="Times New Roman" w:cs="Times New Roman"/>
                <w:color w:val="000000" w:themeColor="text1"/>
                <w:kern w:val="0"/>
                <w:sz w:val="18"/>
                <w:szCs w:val="18"/>
                <w:lang w:bidi="ar"/>
                <w14:textFill>
                  <w14:solidFill>
                    <w14:schemeClr w14:val="tx1"/>
                  </w14:solidFill>
                </w14:textFill>
              </w:rPr>
              <w:t>内静脉滴注0.5 mg/kg（＜35 mg，总量为100 mg）。给药前静脉注射肝素5000 U，继之以1000 U/h静脉滴注（APTT维持在60～80</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s</w:t>
            </w:r>
            <w:r>
              <w:rPr>
                <w:rFonts w:ascii="Times New Roman" w:hAnsi="Times New Roman" w:cs="Times New Roman"/>
                <w:color w:val="000000" w:themeColor="text1"/>
                <w:kern w:val="0"/>
                <w:sz w:val="18"/>
                <w:szCs w:val="18"/>
                <w:lang w:bidi="ar"/>
                <w14:textFill>
                  <w14:solidFill>
                    <w14:schemeClr w14:val="tx1"/>
                  </w14:solidFill>
                </w14:textFill>
              </w:rPr>
              <w:t>）。国内经验应用总量为50 mg，rt-PA（8 mg静脉注射，42 mg于90</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min</w:t>
            </w:r>
            <w:r>
              <w:rPr>
                <w:rFonts w:ascii="Times New Roman" w:hAnsi="Times New Roman" w:cs="Times New Roman"/>
                <w:color w:val="000000" w:themeColor="text1"/>
                <w:kern w:val="0"/>
                <w:sz w:val="18"/>
                <w:szCs w:val="18"/>
                <w:lang w:bidi="ar"/>
                <w14:textFill>
                  <w14:solidFill>
                    <w14:schemeClr w14:val="tx1"/>
                  </w14:solidFill>
                </w14:textFill>
              </w:rPr>
              <w:t>内静脉滴注，配合肝素静脉应用，方法同上）。</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610780E6">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严重的肝病，包括肝功能衰竭、肝硬变、门静脉高压（食管静脉曲张）及活动性肝炎患者禁用。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77E8DB22">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尚不明确</w:t>
            </w:r>
            <w:r>
              <w:rPr>
                <w:rFonts w:hint="eastAsia" w:ascii="Times New Roman" w:hAnsi="Times New Roman" w:cs="Times New Roman"/>
                <w:color w:val="000000" w:themeColor="text1"/>
                <w:sz w:val="18"/>
                <w:szCs w:val="18"/>
                <w14:textFill>
                  <w14:solidFill>
                    <w14:schemeClr w14:val="tx1"/>
                  </w14:solidFill>
                </w14:textFill>
              </w:rPr>
              <w:t>。</w:t>
            </w:r>
          </w:p>
        </w:tc>
        <w:tc>
          <w:tcPr>
            <w:tcW w:w="1529" w:type="dxa"/>
            <w:shd w:val="clear" w:color="auto" w:fill="auto"/>
            <w:vAlign w:val="center"/>
          </w:tcPr>
          <w:p w14:paraId="3B2B908D">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34D5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104FF4F0">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42</w:t>
            </w:r>
          </w:p>
        </w:tc>
        <w:tc>
          <w:tcPr>
            <w:tcW w:w="1027" w:type="dxa"/>
            <w:shd w:val="clear" w:color="auto" w:fill="auto"/>
            <w:vAlign w:val="center"/>
          </w:tcPr>
          <w:p w14:paraId="6674431F">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尿激酶原</w:t>
            </w:r>
          </w:p>
        </w:tc>
        <w:tc>
          <w:tcPr>
            <w:tcW w:w="3565" w:type="dxa"/>
            <w:shd w:val="clear" w:color="auto" w:fill="auto"/>
            <w:vAlign w:val="center"/>
          </w:tcPr>
          <w:p w14:paraId="153FF559">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STEMI患者：一次用量50 mg。先将20 mg加入10 ml生理盐水溶解后，3</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min</w:t>
            </w:r>
            <w:r>
              <w:rPr>
                <w:rFonts w:ascii="Times New Roman" w:hAnsi="Times New Roman" w:cs="Times New Roman"/>
                <w:color w:val="000000" w:themeColor="text1"/>
                <w:kern w:val="0"/>
                <w:sz w:val="18"/>
                <w:szCs w:val="18"/>
                <w:lang w:bidi="ar"/>
                <w14:textFill>
                  <w14:solidFill>
                    <w14:schemeClr w14:val="tx1"/>
                  </w14:solidFill>
                </w14:textFill>
              </w:rPr>
              <w:t>内静脉注射完毕，其余30 mg溶于90 ml生理盐水，30</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min</w:t>
            </w:r>
            <w:r>
              <w:rPr>
                <w:rFonts w:ascii="Times New Roman" w:hAnsi="Times New Roman" w:cs="Times New Roman"/>
                <w:color w:val="000000" w:themeColor="text1"/>
                <w:kern w:val="0"/>
                <w:sz w:val="18"/>
                <w:szCs w:val="18"/>
                <w:lang w:bidi="ar"/>
                <w14:textFill>
                  <w14:solidFill>
                    <w14:schemeClr w14:val="tx1"/>
                  </w14:solidFill>
                </w14:textFill>
              </w:rPr>
              <w:t>内静脉滴注。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51B41F30">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严重肝功能障碍患者禁用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061D55B3">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严重肾功能障碍患者禁用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2E6D5EAA">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5D79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78EF3F0F">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43</w:t>
            </w:r>
          </w:p>
        </w:tc>
        <w:tc>
          <w:tcPr>
            <w:tcW w:w="1027" w:type="dxa"/>
            <w:shd w:val="clear" w:color="auto" w:fill="auto"/>
            <w:vAlign w:val="center"/>
          </w:tcPr>
          <w:p w14:paraId="0D531132">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瑞替普酶</w:t>
            </w:r>
          </w:p>
        </w:tc>
        <w:tc>
          <w:tcPr>
            <w:tcW w:w="3565" w:type="dxa"/>
            <w:shd w:val="clear" w:color="auto" w:fill="auto"/>
            <w:vAlign w:val="center"/>
          </w:tcPr>
          <w:p w14:paraId="46C7709F">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推荐10 MU</w:t>
            </w:r>
            <w:r>
              <w:rPr>
                <w:rFonts w:hint="eastAsia" w:ascii="Times New Roman" w:hAnsi="Times New Roman" w:cs="Times New Roman"/>
                <w:color w:val="000000" w:themeColor="text1"/>
                <w:kern w:val="0"/>
                <w:sz w:val="18"/>
                <w:szCs w:val="18"/>
                <w14:textFill>
                  <w14:solidFill>
                    <w14:schemeClr w14:val="tx1"/>
                  </w14:solidFill>
                </w14:textFill>
                <w14:ligatures w14:val="standardContextual"/>
              </w:rPr>
              <w:t>+</w:t>
            </w:r>
            <w:r>
              <w:rPr>
                <w:rFonts w:ascii="Times New Roman" w:hAnsi="Times New Roman" w:cs="Times New Roman"/>
                <w:color w:val="000000" w:themeColor="text1"/>
                <w:kern w:val="0"/>
                <w:sz w:val="18"/>
                <w:szCs w:val="18"/>
                <w:lang w:bidi="ar"/>
                <w14:textFill>
                  <w14:solidFill>
                    <w14:schemeClr w14:val="tx1"/>
                  </w14:solidFill>
                </w14:textFill>
              </w:rPr>
              <w:t>10 MU分2次静脉注射，每次取本品10</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w:t>
            </w:r>
            <w:r>
              <w:rPr>
                <w:rFonts w:ascii="Times New Roman" w:hAnsi="Times New Roman" w:cs="Times New Roman"/>
                <w:color w:val="000000" w:themeColor="text1"/>
                <w:kern w:val="0"/>
                <w:sz w:val="18"/>
                <w:szCs w:val="18"/>
                <w:lang w:bidi="ar"/>
                <w14:textFill>
                  <w14:solidFill>
                    <w14:schemeClr w14:val="tx1"/>
                  </w14:solidFill>
                </w14:textFill>
              </w:rPr>
              <w:t>MU溶于10 ml注射用水中，缓慢推注2</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min</w:t>
            </w:r>
            <w:r>
              <w:rPr>
                <w:rFonts w:ascii="Times New Roman" w:hAnsi="Times New Roman" w:cs="Times New Roman"/>
                <w:color w:val="000000" w:themeColor="text1"/>
                <w:kern w:val="0"/>
                <w:sz w:val="18"/>
                <w:szCs w:val="18"/>
                <w:lang w:bidi="ar"/>
                <w14:textFill>
                  <w14:solidFill>
                    <w14:schemeClr w14:val="tx1"/>
                  </w14:solidFill>
                </w14:textFill>
              </w:rPr>
              <w:t>以上，2次间隔30</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min</w:t>
            </w:r>
            <w:r>
              <w:rPr>
                <w:rFonts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6C386C36">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严重肝功能障碍患者慎用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4B9C3566">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严重肾功能障碍患者慎用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42B9658B">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5E84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130C2646">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44</w:t>
            </w:r>
          </w:p>
        </w:tc>
        <w:tc>
          <w:tcPr>
            <w:tcW w:w="1027" w:type="dxa"/>
            <w:shd w:val="clear" w:color="auto" w:fill="auto"/>
            <w:vAlign w:val="center"/>
          </w:tcPr>
          <w:p w14:paraId="5424FB88">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替奈普酶</w:t>
            </w:r>
          </w:p>
        </w:tc>
        <w:tc>
          <w:tcPr>
            <w:tcW w:w="3565" w:type="dxa"/>
            <w:shd w:val="clear" w:color="auto" w:fill="auto"/>
            <w:vAlign w:val="center"/>
          </w:tcPr>
          <w:p w14:paraId="29D281C6">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STEMI患者：单次给药16 mg。16 mg（1支）用3 ml无菌注射用水溶解后，静脉注射，5～10</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s</w:t>
            </w:r>
            <w:r>
              <w:rPr>
                <w:rFonts w:ascii="Times New Roman" w:hAnsi="Times New Roman" w:cs="Times New Roman"/>
                <w:color w:val="000000" w:themeColor="text1"/>
                <w:kern w:val="0"/>
                <w:sz w:val="18"/>
                <w:szCs w:val="18"/>
                <w:lang w:bidi="ar"/>
                <w14:textFill>
                  <w14:solidFill>
                    <w14:schemeClr w14:val="tx1"/>
                  </w14:solidFill>
                </w14:textFill>
              </w:rPr>
              <w:t>完成注射。</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0BC95BF4">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严重的肝功能障碍，包括肝功能衰竭、肝硬变、门静脉高压（食管静脉曲张）及活动性肝炎患者慎用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46D95D02">
            <w:pPr>
              <w:wordWrap w:val="0"/>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尚不明确</w:t>
            </w:r>
            <w:r>
              <w:rPr>
                <w:rFonts w:hint="eastAsia" w:ascii="Times New Roman" w:hAnsi="Times New Roman" w:cs="Times New Roman"/>
                <w:color w:val="000000" w:themeColor="text1"/>
                <w:sz w:val="18"/>
                <w:szCs w:val="18"/>
                <w14:textFill>
                  <w14:solidFill>
                    <w14:schemeClr w14:val="tx1"/>
                  </w14:solidFill>
                </w14:textFill>
              </w:rPr>
              <w:t>。</w:t>
            </w:r>
          </w:p>
        </w:tc>
        <w:tc>
          <w:tcPr>
            <w:tcW w:w="1529" w:type="dxa"/>
            <w:shd w:val="clear" w:color="auto" w:fill="auto"/>
            <w:vAlign w:val="center"/>
          </w:tcPr>
          <w:p w14:paraId="1BD1E680">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15E1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3" w:type="dxa"/>
            <w:gridSpan w:val="6"/>
          </w:tcPr>
          <w:p w14:paraId="1E6EA5F4">
            <w:pPr>
              <w:pStyle w:val="89"/>
              <w:rPr>
                <w:rFonts w:ascii="Times New Roman" w:hAnsi="Times New Roman" w:eastAsia="宋体" w:cs="Times New Roman"/>
                <w:b w:val="0"/>
                <w:bCs w:val="0"/>
                <w:color w:val="000000" w:themeColor="text1"/>
                <w14:textFill>
                  <w14:solidFill>
                    <w14:schemeClr w14:val="tx1"/>
                  </w14:solidFill>
                </w14:textFill>
              </w:rPr>
            </w:pPr>
            <w:r>
              <w:rPr>
                <w:rFonts w:ascii="Times New Roman" w:hAnsi="Times New Roman" w:eastAsia="宋体" w:cs="Times New Roman"/>
                <w:b w:val="0"/>
                <w:bCs w:val="0"/>
                <w:color w:val="000000" w:themeColor="text1"/>
                <w:kern w:val="0"/>
                <w:sz w:val="18"/>
                <w:szCs w:val="18"/>
                <w:lang w:bidi="ar"/>
                <w14:textFill>
                  <w14:solidFill>
                    <w14:schemeClr w14:val="tx1"/>
                  </w14:solidFill>
                </w14:textFill>
              </w:rPr>
              <w:t>抗凝药物</w:t>
            </w:r>
          </w:p>
        </w:tc>
      </w:tr>
      <w:tr w14:paraId="55E4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7EB66F6D">
            <w:pPr>
              <w:widowControl/>
              <w:wordWrap w:val="0"/>
              <w:spacing w:line="240" w:lineRule="auto"/>
              <w:ind w:firstLine="0" w:firstLineChars="0"/>
              <w:jc w:val="center"/>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45</w:t>
            </w:r>
          </w:p>
        </w:tc>
        <w:tc>
          <w:tcPr>
            <w:tcW w:w="1027" w:type="dxa"/>
            <w:shd w:val="clear" w:color="auto" w:fill="auto"/>
            <w:vAlign w:val="center"/>
          </w:tcPr>
          <w:p w14:paraId="37DD9A90">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普通肝素</w:t>
            </w:r>
          </w:p>
        </w:tc>
        <w:tc>
          <w:tcPr>
            <w:tcW w:w="3565" w:type="dxa"/>
            <w:shd w:val="clear" w:color="auto" w:fill="auto"/>
            <w:vAlign w:val="center"/>
          </w:tcPr>
          <w:p w14:paraId="4B7F6ACA">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1.深部皮下注射：首次5000～10000 U，以后每8</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 </w:t>
            </w:r>
            <w:r>
              <w:rPr>
                <w:rFonts w:ascii="Times New Roman" w:hAnsi="Times New Roman" w:cs="Times New Roman"/>
                <w:color w:val="000000" w:themeColor="text1"/>
                <w:kern w:val="0"/>
                <w:sz w:val="18"/>
                <w:szCs w:val="18"/>
                <w:lang w:bidi="ar"/>
                <w14:textFill>
                  <w14:solidFill>
                    <w14:schemeClr w14:val="tx1"/>
                  </w14:solidFill>
                </w14:textFill>
              </w:rPr>
              <w:t>8000～10000 U或每12</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15000～20000 U；每24</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总量30000～40000 U。</w:t>
            </w:r>
          </w:p>
          <w:p w14:paraId="7230B779">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2.静脉注射：首次5000～10000 U之后，或按体重每4</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 </w:t>
            </w:r>
            <w:r>
              <w:rPr>
                <w:rFonts w:ascii="Times New Roman" w:hAnsi="Times New Roman" w:cs="Times New Roman"/>
                <w:color w:val="000000" w:themeColor="text1"/>
                <w:kern w:val="0"/>
                <w:sz w:val="18"/>
                <w:szCs w:val="18"/>
                <w:lang w:bidi="ar"/>
                <w14:textFill>
                  <w14:solidFill>
                    <w14:schemeClr w14:val="tx1"/>
                  </w14:solidFill>
                </w14:textFill>
              </w:rPr>
              <w:t>100 U/kg，用氯化钠注射液稀释后应用。根据APTT检测结果调整剂量。</w:t>
            </w:r>
          </w:p>
          <w:p w14:paraId="51FB92F8">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3.静脉滴注：每日20000～40000 U，加至氯化钠注射液1000 ml中持续滴注，滴注前可先静脉注射5000 U作为初始剂量。</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3B42113B">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严重肝功能不全者慎用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709BD5CE">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CKD 1～3期（eGFR</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30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）：冠状动脉造影前，弹丸式静脉注射60～70 IU/kg（最大5000 IU），随后静脉滴注（12～15 IU/（kg•h），最大剂量1000 IU），控制APTT为1.5～2.5倍正常值。</w:t>
            </w:r>
          </w:p>
          <w:p w14:paraId="256623B8">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PCI治疗期间：静脉注射70～100 IU/kg（联合使用GPⅡb/ Ⅲa受体拮抗剂时剂量调整为50～70 IU/kg）；CKD 4期（eGFR 15～30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），无需剂量调整；CKD 5期（eGFR＜15 ml•min</w:t>
            </w:r>
            <w:r>
              <w:rPr>
                <w:rFonts w:ascii="Times New Roman" w:hAnsi="Times New Roman" w:cs="Times New Roman"/>
                <w:color w:val="000000" w:themeColor="text1"/>
                <w:kern w:val="0"/>
                <w:sz w:val="18"/>
                <w:szCs w:val="18"/>
                <w:vertAlign w:val="superscript"/>
                <w:lang w:bidi="ar"/>
                <w14:textFill>
                  <w14:solidFill>
                    <w14:schemeClr w14:val="tx1"/>
                  </w14:solidFill>
                </w14:textFill>
              </w:rPr>
              <w:t>-1</w:t>
            </w:r>
            <w:r>
              <w:rPr>
                <w:rFonts w:ascii="Times New Roman" w:hAnsi="Times New Roman" w:cs="Times New Roman"/>
                <w:color w:val="000000" w:themeColor="text1"/>
                <w:kern w:val="0"/>
                <w:sz w:val="18"/>
                <w:szCs w:val="18"/>
                <w:lang w:bidi="ar"/>
                <w14:textFill>
                  <w14:solidFill>
                    <w14:schemeClr w14:val="tx1"/>
                  </w14:solidFill>
                </w14:textFill>
              </w:rPr>
              <w:t>•1.73m</w:t>
            </w:r>
            <w:r>
              <w:rPr>
                <w:rFonts w:ascii="Times New Roman" w:hAnsi="Times New Roman" w:cs="Times New Roman"/>
                <w:color w:val="000000" w:themeColor="text1"/>
                <w:kern w:val="0"/>
                <w:sz w:val="18"/>
                <w:szCs w:val="18"/>
                <w:vertAlign w:val="superscript"/>
                <w:lang w:bidi="ar"/>
                <w14:textFill>
                  <w14:solidFill>
                    <w14:schemeClr w14:val="tx1"/>
                  </w14:solidFill>
                </w14:textFill>
              </w:rPr>
              <w:t>-2</w:t>
            </w:r>
            <w:r>
              <w:rPr>
                <w:rFonts w:ascii="Times New Roman" w:hAnsi="Times New Roman" w:cs="Times New Roman"/>
                <w:color w:val="000000" w:themeColor="text1"/>
                <w:kern w:val="0"/>
                <w:sz w:val="18"/>
                <w:szCs w:val="18"/>
                <w:lang w:bidi="ar"/>
                <w14:textFill>
                  <w14:solidFill>
                    <w14:schemeClr w14:val="tx1"/>
                  </w14:solidFill>
                </w14:textFill>
              </w:rPr>
              <w:t>），无需剂量调整。</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5A750243">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3C9E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430A490A">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4</w:t>
            </w:r>
            <w:r>
              <w:rPr>
                <w:rFonts w:hint="eastAsia" w:ascii="Times New Roman" w:hAnsi="Times New Roman" w:cs="Times New Roman"/>
                <w:color w:val="000000" w:themeColor="text1"/>
                <w:kern w:val="0"/>
                <w:sz w:val="18"/>
                <w:szCs w:val="18"/>
                <w:lang w:bidi="ar"/>
                <w14:textFill>
                  <w14:solidFill>
                    <w14:schemeClr w14:val="tx1"/>
                  </w14:solidFill>
                </w14:textFill>
              </w:rPr>
              <w:t>6</w:t>
            </w:r>
          </w:p>
        </w:tc>
        <w:tc>
          <w:tcPr>
            <w:tcW w:w="1027" w:type="dxa"/>
            <w:shd w:val="clear" w:color="auto" w:fill="auto"/>
            <w:vAlign w:val="center"/>
          </w:tcPr>
          <w:p w14:paraId="7CA0EB95">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依诺肝素钠</w:t>
            </w:r>
          </w:p>
        </w:tc>
        <w:tc>
          <w:tcPr>
            <w:tcW w:w="3565" w:type="dxa"/>
            <w:shd w:val="clear" w:color="auto" w:fill="auto"/>
            <w:vAlign w:val="center"/>
          </w:tcPr>
          <w:p w14:paraId="447AA2FF">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1.治疗UA及非Q波心梗</w:t>
            </w:r>
            <w:r>
              <w:rPr>
                <w:rFonts w:ascii="Times New Roman" w:hAnsi="Times New Roman" w:cs="Times New Roman"/>
                <w:color w:val="000000" w:themeColor="text1"/>
                <w:sz w:val="18"/>
                <w:szCs w:val="18"/>
                <w14:textFill>
                  <w14:solidFill>
                    <w14:schemeClr w14:val="tx1"/>
                  </w14:solidFill>
                </w14:textFill>
              </w:rPr>
              <w:t>：</w:t>
            </w:r>
          </w:p>
          <w:p w14:paraId="2FCBF1D2">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皮下注射依诺肝素推荐剂量为每次100 AXaIU/kg，每12</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给药一次。应与阿司匹林同用（推荐剂量：最小负荷量为160 mg，之后每日一次口服75～325mg）。一般疗程为2～8天，直至临床症状稳定。</w:t>
            </w:r>
          </w:p>
          <w:p w14:paraId="3E08CF52">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2.与溶栓剂联用或同时与PCI联用，治疗STEMI患者</w:t>
            </w:r>
            <w:r>
              <w:rPr>
                <w:rFonts w:ascii="Times New Roman" w:hAnsi="Times New Roman" w:cs="Times New Roman"/>
                <w:color w:val="000000" w:themeColor="text1"/>
                <w:sz w:val="18"/>
                <w:szCs w:val="18"/>
                <w14:textFill>
                  <w14:solidFill>
                    <w14:schemeClr w14:val="tx1"/>
                  </w14:solidFill>
                </w14:textFill>
              </w:rPr>
              <w:t>：</w:t>
            </w:r>
          </w:p>
          <w:p w14:paraId="730641F2">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在初始静脉注射给予3000 AXaIU后的15分钟内皮下给药100 AXaIU/kg，随后每隔12</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皮下注射一次100 AXaIU（最初两次皮下注射剂量最大为10000 AXaIU）。</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521CD3DA">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肝功能不全者慎用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36F8449D">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CrCl为50～80 ml/min和CrCl为30～50 ml/min肾功能不全患者，无需调整剂量；</w:t>
            </w:r>
          </w:p>
          <w:p w14:paraId="6D6CFC85">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CrCl为15～30 ml/min，推荐预防剂量为每日一次2000 IU，治疗剂量为每日100 IU/kg，并在严密监测下谨慎使用；CrCl＜15 ml/min不推荐使用。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09207115">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25AA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365EB1F3">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4</w:t>
            </w:r>
            <w:r>
              <w:rPr>
                <w:rFonts w:hint="eastAsia" w:ascii="Times New Roman" w:hAnsi="Times New Roman" w:cs="Times New Roman"/>
                <w:color w:val="000000" w:themeColor="text1"/>
                <w:kern w:val="0"/>
                <w:sz w:val="18"/>
                <w:szCs w:val="18"/>
                <w:lang w:bidi="ar"/>
                <w14:textFill>
                  <w14:solidFill>
                    <w14:schemeClr w14:val="tx1"/>
                  </w14:solidFill>
                </w14:textFill>
              </w:rPr>
              <w:t>7</w:t>
            </w:r>
          </w:p>
        </w:tc>
        <w:tc>
          <w:tcPr>
            <w:tcW w:w="1027" w:type="dxa"/>
            <w:shd w:val="clear" w:color="auto" w:fill="auto"/>
            <w:vAlign w:val="center"/>
          </w:tcPr>
          <w:p w14:paraId="69DD788A">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那屈肝素钙</w:t>
            </w:r>
            <w:r>
              <w:rPr>
                <w:rFonts w:hint="eastAsia" w:ascii="Times New Roman" w:hAnsi="Times New Roman" w:cs="Times New Roman"/>
                <w:color w:val="000000" w:themeColor="text1"/>
                <w:sz w:val="18"/>
                <w:szCs w:val="18"/>
                <w:lang w:bidi="ar"/>
                <w14:textFill>
                  <w14:solidFill>
                    <w14:schemeClr w14:val="tx1"/>
                  </w14:solidFill>
                </w14:textFill>
              </w:rPr>
              <w:t>（速碧林）</w:t>
            </w:r>
          </w:p>
        </w:tc>
        <w:tc>
          <w:tcPr>
            <w:tcW w:w="3565" w:type="dxa"/>
            <w:shd w:val="clear" w:color="auto" w:fill="auto"/>
            <w:vAlign w:val="center"/>
          </w:tcPr>
          <w:p w14:paraId="706627FD">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治疗UA和非Q波心肌梗死：</w:t>
            </w:r>
          </w:p>
          <w:p w14:paraId="1A18F74B">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每日2次皮下注射86 AXaIU/kg的那屈肝素（间隔12 h），联合使用阿司匹林（推荐剂量：在160～325 mg的负荷剂量）。初始的剂量可通过一次性静脉推注和皮下注射给药。治疗后一般在6天左右达到临床稳定。依据患者体重范围调整剂量。</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4AD3BEC1">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肝功能衰竭慎用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3849C908">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CrCl</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50 ml/min：无需调整剂量；30</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CrCl＜50 ml/min：应减量25%～33%；CrCl＜30 ml/min禁用。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01B2065C">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65E1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20709F76">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4</w:t>
            </w:r>
            <w:r>
              <w:rPr>
                <w:rFonts w:hint="eastAsia" w:ascii="Times New Roman" w:hAnsi="Times New Roman" w:cs="Times New Roman"/>
                <w:color w:val="000000" w:themeColor="text1"/>
                <w:kern w:val="0"/>
                <w:sz w:val="18"/>
                <w:szCs w:val="18"/>
                <w:lang w:bidi="ar"/>
                <w14:textFill>
                  <w14:solidFill>
                    <w14:schemeClr w14:val="tx1"/>
                  </w14:solidFill>
                </w14:textFill>
              </w:rPr>
              <w:t>8</w:t>
            </w:r>
          </w:p>
        </w:tc>
        <w:tc>
          <w:tcPr>
            <w:tcW w:w="1027" w:type="dxa"/>
            <w:shd w:val="clear" w:color="auto" w:fill="auto"/>
            <w:vAlign w:val="center"/>
          </w:tcPr>
          <w:p w14:paraId="1BA24484">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达肝素钠</w:t>
            </w:r>
          </w:p>
        </w:tc>
        <w:tc>
          <w:tcPr>
            <w:tcW w:w="3565" w:type="dxa"/>
            <w:shd w:val="clear" w:color="auto" w:fill="auto"/>
            <w:vAlign w:val="center"/>
          </w:tcPr>
          <w:p w14:paraId="3B2B3CD7">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治疗UA和非Q波型心肌梗死：皮下注射120 IU/kg体重，一日2次。最大剂量为10000 IU/12</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04C9E97D">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严重肝功能不全者慎用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510F0AAB">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严重肾功能不全者慎用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49192D0B">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292C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25706E18">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4</w:t>
            </w:r>
            <w:r>
              <w:rPr>
                <w:rFonts w:hint="eastAsia" w:ascii="Times New Roman" w:hAnsi="Times New Roman" w:cs="Times New Roman"/>
                <w:color w:val="000000" w:themeColor="text1"/>
                <w:kern w:val="0"/>
                <w:sz w:val="18"/>
                <w:szCs w:val="18"/>
                <w:lang w:bidi="ar"/>
                <w14:textFill>
                  <w14:solidFill>
                    <w14:schemeClr w14:val="tx1"/>
                  </w14:solidFill>
                </w14:textFill>
              </w:rPr>
              <w:t>9</w:t>
            </w:r>
          </w:p>
        </w:tc>
        <w:tc>
          <w:tcPr>
            <w:tcW w:w="1027" w:type="dxa"/>
            <w:shd w:val="clear" w:color="auto" w:fill="auto"/>
            <w:vAlign w:val="center"/>
          </w:tcPr>
          <w:p w14:paraId="653C65A2">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比伐芦定</w:t>
            </w:r>
          </w:p>
        </w:tc>
        <w:tc>
          <w:tcPr>
            <w:tcW w:w="3565" w:type="dxa"/>
            <w:shd w:val="clear" w:color="auto" w:fill="auto"/>
            <w:vAlign w:val="center"/>
          </w:tcPr>
          <w:p w14:paraId="5913ECAA">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本品仅用于静脉注射和静脉输注。建议比伐芦定与阿司匹林（300～325 mg/d）合用。</w:t>
            </w:r>
          </w:p>
          <w:p w14:paraId="6C6B166A">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1.无HIT/HITTS的患者：</w:t>
            </w:r>
          </w:p>
          <w:p w14:paraId="6347C67C">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在PCI/PTCA术前静脉推注本品0.75 mg/kg，然后立即静脉输注1.75 mg/kg/h至手术结束。在静脉推注后5分钟，应监测活化凝血时间（ACT），如果需要，应该再静脉推注0.3 mg/kg。若有出血不良反应发生，应考虑与血小板糖蛋白IIb/IIIa受体拮抗剂</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GPI</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lang w:bidi="ar"/>
                <w14:textFill>
                  <w14:solidFill>
                    <w14:schemeClr w14:val="tx1"/>
                  </w14:solidFill>
                </w14:textFill>
              </w:rPr>
              <w:t>合用。</w:t>
            </w:r>
          </w:p>
          <w:p w14:paraId="53966521">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2.有HIT/HITTS的患者：</w:t>
            </w:r>
          </w:p>
          <w:p w14:paraId="4BB273E9">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患有HIT/HITTS的患者行PCI时，先静脉推注0.75 mg/kg，在进行PCI期间，以1.75 mg/kg/h的速率继续静脉输注本品。</w:t>
            </w:r>
          </w:p>
          <w:p w14:paraId="18159214">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3.PCI/PTCA术后用药：</w:t>
            </w:r>
          </w:p>
          <w:p w14:paraId="0E91DA57">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PCI/PTCA术后，根据医生判断，可以1.75 mg/kg/h的速度继续静脉输注本品，最长给药时间4</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。STEMI患者，应在PCI/PTCA术后以1.75 mg/kg/h的速度继续静脉输注本品4</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，以降低支架内血栓形成的风险。4</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后，如果需要，再以0.2 mg/kg/h的速率静脉输注本品，最长给药时间为20</w:t>
            </w:r>
            <w:r>
              <w:rPr>
                <w:rFonts w:hint="eastAsia" w:ascii="Times New Roman" w:hAnsi="Times New Roman" w:cs="Times New Roman"/>
                <w:color w:val="000000" w:themeColor="text1"/>
                <w:kern w:val="0"/>
                <w:sz w:val="18"/>
                <w:szCs w:val="18"/>
                <w:lang w:bidi="ar"/>
                <w14:textFill>
                  <w14:solidFill>
                    <w14:schemeClr w14:val="tx1"/>
                  </w14:solidFill>
                </w14:textFill>
              </w:rPr>
              <w:t xml:space="preserve"> h</w:t>
            </w:r>
            <w:r>
              <w:rPr>
                <w:rFonts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0C72039D">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无需调整剂量</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0D0166DE">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对于任何程度的肾功能损害，均无需减少静脉推注的剂量。对于肾功能损害患者，需要降低静脉输注剂量，同时监测患者抗凝状况。肾功能中度损伤患者（CrCl为30～59 ml/min）静脉滴注给药剂量为1.75 mg/kg/h，如果CrCl＜30 ml/min，将静脉滴注剂量减为1.0 mg/kg/h，如果是接受透析的患者，静脉滴注剂量要减为0.25 mg/kg/h，静脉注射剂量均不变；严重肾损害（CrCl＜30 ml/min）以及依赖透析的患者禁用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09D41B68">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6F3F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1DD074F3">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50</w:t>
            </w:r>
          </w:p>
        </w:tc>
        <w:tc>
          <w:tcPr>
            <w:tcW w:w="1027" w:type="dxa"/>
            <w:shd w:val="clear" w:color="auto" w:fill="auto"/>
            <w:vAlign w:val="center"/>
          </w:tcPr>
          <w:p w14:paraId="612353CF">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磺达肝癸钠</w:t>
            </w:r>
          </w:p>
        </w:tc>
        <w:tc>
          <w:tcPr>
            <w:tcW w:w="3565" w:type="dxa"/>
            <w:shd w:val="clear" w:color="auto" w:fill="auto"/>
            <w:vAlign w:val="center"/>
          </w:tcPr>
          <w:p w14:paraId="23531B9F">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1.UA/NSTEMI的治疗</w:t>
            </w:r>
            <w:r>
              <w:rPr>
                <w:rFonts w:ascii="Times New Roman" w:hAnsi="Times New Roman" w:cs="Times New Roman"/>
                <w:color w:val="000000" w:themeColor="text1"/>
                <w:sz w:val="18"/>
                <w:szCs w:val="18"/>
                <w14:textFill>
                  <w14:solidFill>
                    <w14:schemeClr w14:val="tx1"/>
                  </w14:solidFill>
                </w14:textFill>
              </w:rPr>
              <w:t>：</w:t>
            </w:r>
          </w:p>
          <w:p w14:paraId="46575A0F">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剂量为2.5 mg，一日1次，皮下注射给药。作出诊断后应尽早开始治疗，治疗持续最长为8天，如果不到8天出院则直至出院为止。</w:t>
            </w:r>
          </w:p>
          <w:p w14:paraId="2026CD3D">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2.STEMI患者</w:t>
            </w:r>
            <w:r>
              <w:rPr>
                <w:rFonts w:ascii="Times New Roman" w:hAnsi="Times New Roman" w:cs="Times New Roman"/>
                <w:color w:val="000000" w:themeColor="text1"/>
                <w:sz w:val="18"/>
                <w:szCs w:val="18"/>
                <w14:textFill>
                  <w14:solidFill>
                    <w14:schemeClr w14:val="tx1"/>
                  </w14:solidFill>
                </w14:textFill>
              </w:rPr>
              <w:t>：</w:t>
            </w:r>
          </w:p>
          <w:p w14:paraId="0B9C6432">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剂量为2.5 mg，一日1次。首剂应静脉内给药，随后剂量通过皮下注射给药。治疗应在诊断确立后尽早给药，治疗持续最长为8天，如果不到8天出院则直至出院为止。</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09BC8D23">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无需调整剂量</w:t>
            </w:r>
            <w:r>
              <w:rPr>
                <w:rFonts w:ascii="Times New Roman" w:hAnsi="Times New Roman" w:cs="Times New Roman"/>
                <w:color w:val="000000" w:themeColor="text1"/>
                <w:sz w:val="18"/>
                <w:szCs w:val="18"/>
                <w14:textFill>
                  <w14:solidFill>
                    <w14:schemeClr w14:val="tx1"/>
                  </w14:solidFill>
                </w14:textFill>
              </w:rPr>
              <w:t>（由于严重肝功能受损的患者可能存在凝血因子缺乏而使出血风险增加，因此凝血酶原时间异常升高的患者应谨慎使用磺达肝癸钠）</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vertAlign w:val="superscript"/>
                <w14:textFill>
                  <w14:solidFill>
                    <w14:schemeClr w14:val="tx1"/>
                  </w14:solidFill>
                </w14:textFill>
              </w:rPr>
              <w:t>a</w:t>
            </w:r>
          </w:p>
        </w:tc>
        <w:tc>
          <w:tcPr>
            <w:tcW w:w="2423" w:type="dxa"/>
            <w:shd w:val="clear" w:color="auto" w:fill="auto"/>
            <w:vAlign w:val="center"/>
          </w:tcPr>
          <w:p w14:paraId="217F2952">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CrCl＞20 ml/min无需调整给药剂量；CrCl＜20 ml/min患者禁用。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2660EBB5">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r w14:paraId="1472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3" w:type="dxa"/>
            <w:gridSpan w:val="6"/>
          </w:tcPr>
          <w:p w14:paraId="6A56867C">
            <w:pPr>
              <w:pStyle w:val="89"/>
              <w:rPr>
                <w:rFonts w:ascii="Times New Roman" w:hAnsi="Times New Roman" w:eastAsia="宋体" w:cs="Times New Roman"/>
                <w:b w:val="0"/>
                <w:bCs w:val="0"/>
                <w:color w:val="000000" w:themeColor="text1"/>
                <w14:textFill>
                  <w14:solidFill>
                    <w14:schemeClr w14:val="tx1"/>
                  </w14:solidFill>
                </w14:textFill>
              </w:rPr>
            </w:pPr>
            <w:r>
              <w:rPr>
                <w:rFonts w:ascii="Times New Roman" w:hAnsi="Times New Roman" w:eastAsia="宋体" w:cs="Times New Roman"/>
                <w:b w:val="0"/>
                <w:bCs w:val="0"/>
                <w:color w:val="000000" w:themeColor="text1"/>
                <w:kern w:val="0"/>
                <w:sz w:val="18"/>
                <w:szCs w:val="18"/>
                <w:lang w:bidi="ar"/>
                <w14:textFill>
                  <w14:solidFill>
                    <w14:schemeClr w14:val="tx1"/>
                  </w14:solidFill>
                </w14:textFill>
              </w:rPr>
              <w:t>其他药物</w:t>
            </w:r>
          </w:p>
        </w:tc>
      </w:tr>
      <w:tr w14:paraId="2B2D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7E234493">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51</w:t>
            </w:r>
          </w:p>
        </w:tc>
        <w:tc>
          <w:tcPr>
            <w:tcW w:w="1027" w:type="dxa"/>
            <w:shd w:val="clear" w:color="auto" w:fill="auto"/>
            <w:vAlign w:val="center"/>
          </w:tcPr>
          <w:p w14:paraId="2A0AB610">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曲美他嗪</w:t>
            </w:r>
          </w:p>
        </w:tc>
        <w:tc>
          <w:tcPr>
            <w:tcW w:w="3565" w:type="dxa"/>
            <w:shd w:val="clear" w:color="auto" w:fill="auto"/>
            <w:vAlign w:val="center"/>
          </w:tcPr>
          <w:p w14:paraId="77F7449F">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心绞痛</w:t>
            </w:r>
            <w:r>
              <w:rPr>
                <w:rFonts w:ascii="Times New Roman" w:hAnsi="Times New Roman" w:cs="Times New Roman"/>
                <w:color w:val="000000" w:themeColor="text1"/>
                <w:sz w:val="18"/>
                <w:szCs w:val="18"/>
                <w14:textFill>
                  <w14:solidFill>
                    <w14:schemeClr w14:val="tx1"/>
                  </w14:solidFill>
                </w14:textFill>
              </w:rPr>
              <w:t>：</w:t>
            </w:r>
          </w:p>
          <w:p w14:paraId="64108C88">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（1）普通片：20 mg/次，每日3次，三餐时服用</w:t>
            </w:r>
            <w:r>
              <w:rPr>
                <w:rFonts w:hint="eastAsia" w:ascii="Times New Roman" w:hAnsi="Times New Roman" w:cs="Times New Roman"/>
                <w:color w:val="000000" w:themeColor="text1"/>
                <w:kern w:val="0"/>
                <w:sz w:val="18"/>
                <w:szCs w:val="18"/>
                <w:lang w:bidi="ar"/>
                <w14:textFill>
                  <w14:solidFill>
                    <w14:schemeClr w14:val="tx1"/>
                  </w14:solidFill>
                </w14:textFill>
              </w:rPr>
              <w:t>。</w:t>
            </w:r>
          </w:p>
          <w:p w14:paraId="69EC3883">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（2）缓释制剂：每次35 mg，每日2次，早晚餐时服用。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2640E424">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肝功能不全患者慎用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c</w:t>
            </w:r>
          </w:p>
        </w:tc>
        <w:tc>
          <w:tcPr>
            <w:tcW w:w="2423" w:type="dxa"/>
            <w:shd w:val="clear" w:color="auto" w:fill="auto"/>
            <w:vAlign w:val="center"/>
          </w:tcPr>
          <w:p w14:paraId="227CF7CC">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中度肾功能损害（CrCl为30～60 ml/min）患者中，普通片推荐剂量为每次服用20 mg，一日2次，缓释片推荐剂量为每日早餐期间服用35 mg；严重肾功能损害（CrCl＜30 ml/min）禁用。</w:t>
            </w:r>
            <w:r>
              <w:rPr>
                <w:rFonts w:ascii="Times New Roman" w:hAnsi="Times New Roman" w:cs="Times New Roman"/>
                <w:color w:val="000000" w:themeColor="text1"/>
                <w:kern w:val="0"/>
                <w:sz w:val="18"/>
                <w:szCs w:val="18"/>
                <w:vertAlign w:val="superscript"/>
                <w:lang w:bidi="ar"/>
                <w14:textFill>
                  <w14:solidFill>
                    <w14:schemeClr w14:val="tx1"/>
                  </w14:solidFill>
                </w14:textFill>
              </w:rPr>
              <w:t>c</w:t>
            </w:r>
          </w:p>
        </w:tc>
        <w:tc>
          <w:tcPr>
            <w:tcW w:w="1529" w:type="dxa"/>
            <w:shd w:val="clear" w:color="auto" w:fill="auto"/>
            <w:vAlign w:val="center"/>
          </w:tcPr>
          <w:p w14:paraId="2F3B01DC">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p w14:paraId="05C329F8">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c：</w:t>
            </w:r>
            <w:r>
              <w:rPr>
                <w:rFonts w:ascii="Times New Roman" w:hAnsi="Times New Roman" w:cs="Times New Roman"/>
                <w:color w:val="000000" w:themeColor="text1"/>
                <w:kern w:val="0"/>
                <w:sz w:val="18"/>
                <w:szCs w:val="18"/>
                <w:lang w:bidi="ar"/>
                <w14:textFill>
                  <w14:solidFill>
                    <w14:schemeClr w14:val="tx1"/>
                  </w14:solidFill>
                </w14:textFill>
              </w:rPr>
              <w:t>临床用药须知2020</w:t>
            </w:r>
          </w:p>
        </w:tc>
      </w:tr>
      <w:tr w14:paraId="04D1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shd w:val="clear" w:color="auto" w:fill="auto"/>
            <w:vAlign w:val="center"/>
          </w:tcPr>
          <w:p w14:paraId="167CC1FB">
            <w:pPr>
              <w:widowControl/>
              <w:wordWrap w:val="0"/>
              <w:spacing w:line="240" w:lineRule="auto"/>
              <w:ind w:firstLine="0" w:firstLineChars="0"/>
              <w:jc w:val="center"/>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52</w:t>
            </w:r>
          </w:p>
        </w:tc>
        <w:tc>
          <w:tcPr>
            <w:tcW w:w="1027" w:type="dxa"/>
            <w:shd w:val="clear" w:color="auto" w:fill="auto"/>
            <w:vAlign w:val="center"/>
          </w:tcPr>
          <w:p w14:paraId="4B2A706E">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尼可地尔</w:t>
            </w:r>
          </w:p>
        </w:tc>
        <w:tc>
          <w:tcPr>
            <w:tcW w:w="3565" w:type="dxa"/>
            <w:shd w:val="clear" w:color="auto" w:fill="auto"/>
            <w:vAlign w:val="center"/>
          </w:tcPr>
          <w:p w14:paraId="36281948">
            <w:pPr>
              <w:widowControl/>
              <w:wordWrap w:val="0"/>
              <w:spacing w:line="240" w:lineRule="auto"/>
              <w:ind w:firstLine="0" w:firstLineChars="0"/>
              <w:textAlignment w:val="center"/>
              <w:rPr>
                <w:rFonts w:ascii="Times New Roman" w:hAnsi="Times New Roman" w:cs="Times New Roman"/>
                <w:color w:val="000000" w:themeColor="text1"/>
                <w:kern w:val="0"/>
                <w:sz w:val="18"/>
                <w:szCs w:val="18"/>
                <w:lang w:bidi="ar"/>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5 mg/次，每日3次，根据症状轻重可适当增减。</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218" w:type="dxa"/>
            <w:shd w:val="clear" w:color="auto" w:fill="auto"/>
            <w:vAlign w:val="center"/>
          </w:tcPr>
          <w:p w14:paraId="3B5EB985">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严重的肝功能障碍者禁用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2423" w:type="dxa"/>
            <w:shd w:val="clear" w:color="auto" w:fill="auto"/>
            <w:vAlign w:val="center"/>
          </w:tcPr>
          <w:p w14:paraId="3BFFFF67">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lang w:bidi="ar"/>
                <w14:textFill>
                  <w14:solidFill>
                    <w14:schemeClr w14:val="tx1"/>
                  </w14:solidFill>
                </w14:textFill>
              </w:rPr>
              <w:t>严重的肾功能障碍者禁用</w:t>
            </w:r>
            <w:r>
              <w:rPr>
                <w:rFonts w:hint="eastAsia" w:ascii="Times New Roman" w:hAnsi="Times New Roman" w:cs="Times New Roman"/>
                <w:color w:val="000000" w:themeColor="text1"/>
                <w:kern w:val="0"/>
                <w:sz w:val="18"/>
                <w:szCs w:val="18"/>
                <w:lang w:bidi="ar"/>
                <w14:textFill>
                  <w14:solidFill>
                    <w14:schemeClr w14:val="tx1"/>
                  </w14:solidFill>
                </w14:textFill>
              </w:rPr>
              <w:t>。</w:t>
            </w:r>
            <w:r>
              <w:rPr>
                <w:rFonts w:ascii="Times New Roman" w:hAnsi="Times New Roman" w:cs="Times New Roman"/>
                <w:color w:val="000000" w:themeColor="text1"/>
                <w:kern w:val="0"/>
                <w:sz w:val="18"/>
                <w:szCs w:val="18"/>
                <w:vertAlign w:val="superscript"/>
                <w:lang w:bidi="ar"/>
                <w14:textFill>
                  <w14:solidFill>
                    <w14:schemeClr w14:val="tx1"/>
                  </w14:solidFill>
                </w14:textFill>
              </w:rPr>
              <w:t>a</w:t>
            </w:r>
          </w:p>
        </w:tc>
        <w:tc>
          <w:tcPr>
            <w:tcW w:w="1529" w:type="dxa"/>
            <w:shd w:val="clear" w:color="auto" w:fill="auto"/>
            <w:vAlign w:val="center"/>
          </w:tcPr>
          <w:p w14:paraId="66F5F552">
            <w:pPr>
              <w:widowControl/>
              <w:wordWrap w:val="0"/>
              <w:spacing w:line="240" w:lineRule="auto"/>
              <w:ind w:firstLine="0" w:firstLineChars="0"/>
              <w:textAlignment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kern w:val="0"/>
                <w:sz w:val="18"/>
                <w:szCs w:val="18"/>
                <w:lang w:bidi="ar"/>
                <w14:textFill>
                  <w14:solidFill>
                    <w14:schemeClr w14:val="tx1"/>
                  </w14:solidFill>
                </w14:textFill>
              </w:rPr>
              <w:t>a：</w:t>
            </w:r>
            <w:r>
              <w:rPr>
                <w:rFonts w:ascii="Times New Roman" w:hAnsi="Times New Roman" w:cs="Times New Roman"/>
                <w:color w:val="000000" w:themeColor="text1"/>
                <w:kern w:val="0"/>
                <w:sz w:val="18"/>
                <w:szCs w:val="18"/>
                <w:lang w:bidi="ar"/>
                <w14:textFill>
                  <w14:solidFill>
                    <w14:schemeClr w14:val="tx1"/>
                  </w14:solidFill>
                </w14:textFill>
              </w:rPr>
              <w:t>药品说明书</w:t>
            </w:r>
          </w:p>
        </w:tc>
      </w:tr>
    </w:tbl>
    <w:p w14:paraId="6ADDD376">
      <w:pPr>
        <w:widowControl/>
        <w:wordWrap w:val="0"/>
        <w:spacing w:line="240" w:lineRule="auto"/>
        <w:ind w:firstLine="360"/>
        <w:textAlignment w:val="center"/>
        <w:rPr>
          <w:rFonts w:ascii="Times New Roman" w:hAnsi="Times New Roman"/>
          <w:color w:val="000000" w:themeColor="text1"/>
          <w:sz w:val="18"/>
          <w:szCs w:val="18"/>
          <w:lang w:bidi="ar"/>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xml:space="preserve">注：1. </w:t>
      </w:r>
      <w:r>
        <w:rPr>
          <w:rFonts w:ascii="Times New Roman" w:hAnsi="Times New Roman"/>
          <w:color w:val="000000" w:themeColor="text1"/>
          <w:sz w:val="18"/>
          <w:szCs w:val="18"/>
          <w14:textFill>
            <w14:solidFill>
              <w14:schemeClr w14:val="tx1"/>
            </w14:solidFill>
          </w14:textFill>
        </w:rPr>
        <w:t>ACEIs</w:t>
      </w:r>
      <w:r>
        <w:rPr>
          <w:rFonts w:hint="eastAsia" w:ascii="Times New Roman" w:hAnsi="Times New Roman"/>
          <w:color w:val="000000" w:themeColor="text1"/>
          <w:sz w:val="18"/>
          <w:szCs w:val="18"/>
          <w14:textFill>
            <w14:solidFill>
              <w14:schemeClr w14:val="tx1"/>
            </w14:solidFill>
          </w14:textFill>
        </w:rPr>
        <w:t>：血管紧张素转换酶抑制剂，</w:t>
      </w:r>
      <w:r>
        <w:rPr>
          <w:rFonts w:ascii="Times New Roman" w:hAnsi="Times New Roman"/>
          <w:color w:val="000000" w:themeColor="text1"/>
          <w:sz w:val="18"/>
          <w:szCs w:val="18"/>
          <w14:textFill>
            <w14:solidFill>
              <w14:schemeClr w14:val="tx1"/>
            </w14:solidFill>
          </w14:textFill>
        </w:rPr>
        <w:t>CCBs</w:t>
      </w:r>
      <w:r>
        <w:rPr>
          <w:rFonts w:hint="eastAsia" w:ascii="Times New Roman" w:hAnsi="Times New Roman"/>
          <w:color w:val="000000" w:themeColor="text1"/>
          <w:sz w:val="18"/>
          <w:szCs w:val="18"/>
          <w14:textFill>
            <w14:solidFill>
              <w14:schemeClr w14:val="tx1"/>
            </w14:solidFill>
          </w14:textFill>
        </w:rPr>
        <w:t>：钙离子通道阻滞剂，</w:t>
      </w:r>
      <w:r>
        <w:rPr>
          <w:rFonts w:ascii="Times New Roman" w:hAnsi="Times New Roman"/>
          <w:color w:val="000000" w:themeColor="text1"/>
          <w:sz w:val="18"/>
          <w:szCs w:val="18"/>
          <w14:textFill>
            <w14:solidFill>
              <w14:schemeClr w14:val="tx1"/>
            </w14:solidFill>
          </w14:textFill>
        </w:rPr>
        <w:t>ARBs</w:t>
      </w:r>
      <w:r>
        <w:rPr>
          <w:rFonts w:hint="eastAsia" w:ascii="Times New Roman" w:hAnsi="Times New Roman"/>
          <w:color w:val="000000" w:themeColor="text1"/>
          <w:sz w:val="18"/>
          <w:szCs w:val="18"/>
          <w14:textFill>
            <w14:solidFill>
              <w14:schemeClr w14:val="tx1"/>
            </w14:solidFill>
          </w14:textFill>
        </w:rPr>
        <w:t>：血管紧张素</w:t>
      </w:r>
      <w:r>
        <w:rPr>
          <w:rFonts w:ascii="Times New Roman" w:hAnsi="Times New Roman"/>
          <w:color w:val="000000" w:themeColor="text1"/>
          <w:sz w:val="18"/>
          <w:szCs w:val="18"/>
          <w14:textFill>
            <w14:solidFill>
              <w14:schemeClr w14:val="tx1"/>
            </w14:solidFill>
          </w14:textFill>
        </w:rPr>
        <w:t>II</w:t>
      </w:r>
      <w:r>
        <w:rPr>
          <w:rFonts w:hint="eastAsia" w:ascii="Times New Roman" w:hAnsi="Times New Roman"/>
          <w:color w:val="000000" w:themeColor="text1"/>
          <w:sz w:val="18"/>
          <w:szCs w:val="18"/>
          <w14:textFill>
            <w14:solidFill>
              <w14:schemeClr w14:val="tx1"/>
            </w14:solidFill>
          </w14:textFill>
        </w:rPr>
        <w:t>受体拮抗剂，</w:t>
      </w:r>
      <w:r>
        <w:rPr>
          <w:rFonts w:ascii="Times New Roman" w:hAnsi="Times New Roman"/>
          <w:color w:val="000000" w:themeColor="text1"/>
          <w:sz w:val="18"/>
          <w:szCs w:val="18"/>
          <w:lang w:bidi="ar"/>
          <w14:textFill>
            <w14:solidFill>
              <w14:schemeClr w14:val="tx1"/>
            </w14:solidFill>
          </w14:textFill>
        </w:rPr>
        <w:t>CKD</w:t>
      </w:r>
      <w:r>
        <w:rPr>
          <w:rFonts w:hint="eastAsia" w:ascii="Times New Roman" w:hAnsi="Times New Roman"/>
          <w:color w:val="000000" w:themeColor="text1"/>
          <w:sz w:val="18"/>
          <w:szCs w:val="18"/>
          <w:lang w:bidi="ar"/>
          <w14:textFill>
            <w14:solidFill>
              <w14:schemeClr w14:val="tx1"/>
            </w14:solidFill>
          </w14:textFill>
        </w:rPr>
        <w:t>：慢性肾脏病，</w:t>
      </w:r>
      <w:r>
        <w:rPr>
          <w:rFonts w:ascii="Times New Roman" w:hAnsi="Times New Roman"/>
          <w:color w:val="000000" w:themeColor="text1"/>
          <w:sz w:val="18"/>
          <w:szCs w:val="18"/>
          <w:lang w:bidi="ar"/>
          <w14:textFill>
            <w14:solidFill>
              <w14:schemeClr w14:val="tx1"/>
            </w14:solidFill>
          </w14:textFill>
        </w:rPr>
        <w:t>CrCl</w:t>
      </w:r>
      <w:r>
        <w:rPr>
          <w:rFonts w:hint="eastAsia" w:ascii="Times New Roman" w:hAnsi="Times New Roman"/>
          <w:color w:val="000000" w:themeColor="text1"/>
          <w:sz w:val="18"/>
          <w:szCs w:val="18"/>
          <w:lang w:bidi="ar"/>
          <w14:textFill>
            <w14:solidFill>
              <w14:schemeClr w14:val="tx1"/>
            </w14:solidFill>
          </w14:textFill>
        </w:rPr>
        <w:t>：肌酐清除率，</w:t>
      </w:r>
      <w:r>
        <w:rPr>
          <w:rFonts w:ascii="Times New Roman" w:hAnsi="Times New Roman"/>
          <w:color w:val="000000" w:themeColor="text1"/>
          <w:sz w:val="18"/>
          <w:szCs w:val="18"/>
          <w:lang w:bidi="ar"/>
          <w14:textFill>
            <w14:solidFill>
              <w14:schemeClr w14:val="tx1"/>
            </w14:solidFill>
          </w14:textFill>
        </w:rPr>
        <w:t>eGFR</w:t>
      </w:r>
      <w:r>
        <w:rPr>
          <w:rFonts w:hint="eastAsia" w:ascii="Times New Roman" w:hAnsi="Times New Roman"/>
          <w:color w:val="000000" w:themeColor="text1"/>
          <w:sz w:val="18"/>
          <w:szCs w:val="18"/>
          <w:lang w:bidi="ar"/>
          <w14:textFill>
            <w14:solidFill>
              <w14:schemeClr w14:val="tx1"/>
            </w14:solidFill>
          </w14:textFill>
        </w:rPr>
        <w:t>：估算的肾小球滤过率，</w:t>
      </w:r>
      <w:r>
        <w:rPr>
          <w:rFonts w:ascii="Times New Roman" w:hAnsi="Times New Roman"/>
          <w:color w:val="000000" w:themeColor="text1"/>
          <w:sz w:val="18"/>
          <w:szCs w:val="18"/>
          <w:lang w:bidi="ar"/>
          <w14:textFill>
            <w14:solidFill>
              <w14:schemeClr w14:val="tx1"/>
            </w14:solidFill>
          </w14:textFill>
        </w:rPr>
        <w:t>AST</w:t>
      </w:r>
      <w:r>
        <w:rPr>
          <w:rFonts w:hint="eastAsia" w:ascii="Times New Roman" w:hAnsi="Times New Roman"/>
          <w:color w:val="000000" w:themeColor="text1"/>
          <w:sz w:val="18"/>
          <w:szCs w:val="18"/>
          <w:lang w:bidi="ar"/>
          <w14:textFill>
            <w14:solidFill>
              <w14:schemeClr w14:val="tx1"/>
            </w14:solidFill>
          </w14:textFill>
        </w:rPr>
        <w:t>：天冬氨酸氨基转移酶，</w:t>
      </w:r>
      <w:r>
        <w:rPr>
          <w:rFonts w:ascii="Times New Roman" w:hAnsi="Times New Roman"/>
          <w:color w:val="000000" w:themeColor="text1"/>
          <w:sz w:val="18"/>
          <w:szCs w:val="18"/>
          <w:lang w:bidi="ar"/>
          <w14:textFill>
            <w14:solidFill>
              <w14:schemeClr w14:val="tx1"/>
            </w14:solidFill>
          </w14:textFill>
        </w:rPr>
        <w:t>ALT</w:t>
      </w:r>
      <w:r>
        <w:rPr>
          <w:rFonts w:hint="eastAsia" w:ascii="Times New Roman" w:hAnsi="Times New Roman"/>
          <w:color w:val="000000" w:themeColor="text1"/>
          <w:sz w:val="18"/>
          <w:szCs w:val="18"/>
          <w:lang w:bidi="ar"/>
          <w14:textFill>
            <w14:solidFill>
              <w14:schemeClr w14:val="tx1"/>
            </w14:solidFill>
          </w14:textFill>
        </w:rPr>
        <w:t>：丙氨酸氨基转移酶，</w:t>
      </w:r>
      <w:r>
        <w:rPr>
          <w:rFonts w:ascii="Times New Roman" w:hAnsi="Times New Roman"/>
          <w:color w:val="000000" w:themeColor="text1"/>
          <w:sz w:val="18"/>
          <w:szCs w:val="18"/>
          <w:lang w:bidi="ar"/>
          <w14:textFill>
            <w14:solidFill>
              <w14:schemeClr w14:val="tx1"/>
            </w14:solidFill>
          </w14:textFill>
        </w:rPr>
        <w:t>NSTE-ACS</w:t>
      </w:r>
      <w:r>
        <w:rPr>
          <w:rFonts w:hint="eastAsia" w:ascii="Times New Roman" w:hAnsi="Times New Roman"/>
          <w:color w:val="000000" w:themeColor="text1"/>
          <w:sz w:val="18"/>
          <w:szCs w:val="18"/>
          <w:lang w:bidi="ar"/>
          <w14:textFill>
            <w14:solidFill>
              <w14:schemeClr w14:val="tx1"/>
            </w14:solidFill>
          </w14:textFill>
        </w:rPr>
        <w:t>：非</w:t>
      </w:r>
      <w:r>
        <w:rPr>
          <w:rFonts w:ascii="Times New Roman" w:hAnsi="Times New Roman"/>
          <w:color w:val="000000" w:themeColor="text1"/>
          <w:sz w:val="18"/>
          <w:szCs w:val="18"/>
          <w:lang w:bidi="ar"/>
          <w14:textFill>
            <w14:solidFill>
              <w14:schemeClr w14:val="tx1"/>
            </w14:solidFill>
          </w14:textFill>
        </w:rPr>
        <w:t>ST</w:t>
      </w:r>
      <w:r>
        <w:rPr>
          <w:rFonts w:hint="eastAsia" w:ascii="Times New Roman" w:hAnsi="Times New Roman"/>
          <w:color w:val="000000" w:themeColor="text1"/>
          <w:sz w:val="18"/>
          <w:szCs w:val="18"/>
          <w:lang w:bidi="ar"/>
          <w14:textFill>
            <w14:solidFill>
              <w14:schemeClr w14:val="tx1"/>
            </w14:solidFill>
          </w14:textFill>
        </w:rPr>
        <w:t>段抬高型急性冠脉综合征，</w:t>
      </w:r>
      <w:r>
        <w:rPr>
          <w:rFonts w:ascii="Times New Roman" w:hAnsi="Times New Roman"/>
          <w:color w:val="000000" w:themeColor="text1"/>
          <w:sz w:val="18"/>
          <w:szCs w:val="18"/>
          <w:lang w:bidi="ar"/>
          <w14:textFill>
            <w14:solidFill>
              <w14:schemeClr w14:val="tx1"/>
            </w14:solidFill>
          </w14:textFill>
        </w:rPr>
        <w:t>STEMI</w:t>
      </w:r>
      <w:r>
        <w:rPr>
          <w:rFonts w:hint="eastAsia" w:ascii="Times New Roman" w:hAnsi="Times New Roman"/>
          <w:color w:val="000000" w:themeColor="text1"/>
          <w:sz w:val="18"/>
          <w:szCs w:val="18"/>
          <w:lang w:bidi="ar"/>
          <w14:textFill>
            <w14:solidFill>
              <w14:schemeClr w14:val="tx1"/>
            </w14:solidFill>
          </w14:textFill>
        </w:rPr>
        <w:t>：</w:t>
      </w:r>
      <w:r>
        <w:rPr>
          <w:rFonts w:ascii="Times New Roman" w:hAnsi="Times New Roman"/>
          <w:color w:val="000000" w:themeColor="text1"/>
          <w:sz w:val="18"/>
          <w:szCs w:val="18"/>
          <w:lang w:bidi="ar"/>
          <w14:textFill>
            <w14:solidFill>
              <w14:schemeClr w14:val="tx1"/>
            </w14:solidFill>
          </w14:textFill>
        </w:rPr>
        <w:t>ST</w:t>
      </w:r>
      <w:r>
        <w:rPr>
          <w:rFonts w:hint="eastAsia" w:ascii="Times New Roman" w:hAnsi="Times New Roman"/>
          <w:color w:val="000000" w:themeColor="text1"/>
          <w:sz w:val="18"/>
          <w:szCs w:val="18"/>
          <w:lang w:bidi="ar"/>
          <w14:textFill>
            <w14:solidFill>
              <w14:schemeClr w14:val="tx1"/>
            </w14:solidFill>
          </w14:textFill>
        </w:rPr>
        <w:t>段抬高型心肌梗死，</w:t>
      </w:r>
      <w:r>
        <w:rPr>
          <w:rFonts w:ascii="Times New Roman" w:hAnsi="Times New Roman"/>
          <w:color w:val="000000" w:themeColor="text1"/>
          <w:sz w:val="18"/>
          <w:szCs w:val="18"/>
          <w:lang w:bidi="ar"/>
          <w14:textFill>
            <w14:solidFill>
              <w14:schemeClr w14:val="tx1"/>
            </w14:solidFill>
          </w14:textFill>
        </w:rPr>
        <w:t>NSTEMI</w:t>
      </w:r>
      <w:r>
        <w:rPr>
          <w:rFonts w:hint="eastAsia" w:ascii="Times New Roman" w:hAnsi="Times New Roman"/>
          <w:color w:val="000000" w:themeColor="text1"/>
          <w:sz w:val="18"/>
          <w:szCs w:val="18"/>
          <w:lang w:bidi="ar"/>
          <w14:textFill>
            <w14:solidFill>
              <w14:schemeClr w14:val="tx1"/>
            </w14:solidFill>
          </w14:textFill>
        </w:rPr>
        <w:t>：非</w:t>
      </w:r>
      <w:r>
        <w:rPr>
          <w:rFonts w:ascii="Times New Roman" w:hAnsi="Times New Roman"/>
          <w:color w:val="000000" w:themeColor="text1"/>
          <w:sz w:val="18"/>
          <w:szCs w:val="18"/>
          <w:lang w:bidi="ar"/>
          <w14:textFill>
            <w14:solidFill>
              <w14:schemeClr w14:val="tx1"/>
            </w14:solidFill>
          </w14:textFill>
        </w:rPr>
        <w:t>ST</w:t>
      </w:r>
      <w:r>
        <w:rPr>
          <w:rFonts w:hint="eastAsia" w:ascii="Times New Roman" w:hAnsi="Times New Roman"/>
          <w:color w:val="000000" w:themeColor="text1"/>
          <w:sz w:val="18"/>
          <w:szCs w:val="18"/>
          <w:lang w:bidi="ar"/>
          <w14:textFill>
            <w14:solidFill>
              <w14:schemeClr w14:val="tx1"/>
            </w14:solidFill>
          </w14:textFill>
        </w:rPr>
        <w:t>段抬高型心肌梗死，</w:t>
      </w:r>
      <w:r>
        <w:rPr>
          <w:rFonts w:ascii="Times New Roman" w:hAnsi="Times New Roman"/>
          <w:color w:val="000000" w:themeColor="text1"/>
          <w:sz w:val="18"/>
          <w:szCs w:val="18"/>
          <w:lang w:bidi="ar"/>
          <w14:textFill>
            <w14:solidFill>
              <w14:schemeClr w14:val="tx1"/>
            </w14:solidFill>
          </w14:textFill>
        </w:rPr>
        <w:t>ACS</w:t>
      </w:r>
      <w:r>
        <w:rPr>
          <w:rFonts w:hint="eastAsia" w:ascii="Times New Roman" w:hAnsi="Times New Roman"/>
          <w:color w:val="000000" w:themeColor="text1"/>
          <w:sz w:val="18"/>
          <w:szCs w:val="18"/>
          <w:lang w:bidi="ar"/>
          <w14:textFill>
            <w14:solidFill>
              <w14:schemeClr w14:val="tx1"/>
            </w14:solidFill>
          </w14:textFill>
        </w:rPr>
        <w:t>：急性冠脉综合征，</w:t>
      </w:r>
      <w:r>
        <w:rPr>
          <w:rFonts w:ascii="Times New Roman" w:hAnsi="Times New Roman"/>
          <w:color w:val="000000" w:themeColor="text1"/>
          <w:sz w:val="18"/>
          <w:szCs w:val="18"/>
          <w:lang w:bidi="ar"/>
          <w14:textFill>
            <w14:solidFill>
              <w14:schemeClr w14:val="tx1"/>
            </w14:solidFill>
          </w14:textFill>
        </w:rPr>
        <w:t>UA</w:t>
      </w:r>
      <w:r>
        <w:rPr>
          <w:rFonts w:hint="eastAsia" w:ascii="Times New Roman" w:hAnsi="Times New Roman"/>
          <w:color w:val="000000" w:themeColor="text1"/>
          <w:sz w:val="18"/>
          <w:szCs w:val="18"/>
          <w:lang w:bidi="ar"/>
          <w14:textFill>
            <w14:solidFill>
              <w14:schemeClr w14:val="tx1"/>
            </w14:solidFill>
          </w14:textFill>
        </w:rPr>
        <w:t>：不稳定性心绞痛。</w:t>
      </w:r>
    </w:p>
    <w:p w14:paraId="5B06516C">
      <w:pPr>
        <w:widowControl/>
        <w:wordWrap w:val="0"/>
        <w:spacing w:line="240" w:lineRule="auto"/>
        <w:ind w:firstLine="360"/>
        <w:textAlignment w:val="center"/>
        <w:rPr>
          <w:rFonts w:ascii="Times New Roman" w:hAnsi="Times New Roman"/>
          <w:color w:val="000000" w:themeColor="text1"/>
          <w:sz w:val="18"/>
          <w:szCs w:val="18"/>
          <w:lang w:bidi="ar"/>
          <w14:textFill>
            <w14:solidFill>
              <w14:schemeClr w14:val="tx1"/>
            </w14:solidFill>
          </w14:textFill>
        </w:rPr>
      </w:pPr>
      <w:r>
        <w:rPr>
          <w:rFonts w:hint="eastAsia" w:ascii="Times New Roman" w:hAnsi="Times New Roman"/>
          <w:color w:val="000000" w:themeColor="text1"/>
          <w:sz w:val="18"/>
          <w:szCs w:val="18"/>
          <w:lang w:bidi="ar"/>
          <w14:textFill>
            <w14:solidFill>
              <w14:schemeClr w14:val="tx1"/>
            </w14:solidFill>
          </w14:textFill>
        </w:rPr>
        <w:t>2. 本表剂量调整建议仅供参考，具体用药请务必以最新版药品说明书和患者个体情况为准。临床药师需密切监测患者反应并及时调整方案。</w:t>
      </w:r>
    </w:p>
    <w:p w14:paraId="1C6E8A4E">
      <w:pPr>
        <w:widowControl/>
        <w:spacing w:line="240" w:lineRule="auto"/>
        <w:ind w:firstLine="0" w:firstLineChars="0"/>
        <w:jc w:val="left"/>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br w:type="page"/>
      </w:r>
    </w:p>
    <w:p w14:paraId="57BCA5A8">
      <w:pPr>
        <w:pStyle w:val="89"/>
        <w:rPr>
          <w:color w:val="000000" w:themeColor="text1"/>
          <w14:textFill>
            <w14:solidFill>
              <w14:schemeClr w14:val="tx1"/>
            </w14:solidFill>
          </w14:textFill>
        </w:rPr>
      </w:pPr>
      <w:bookmarkStart w:id="253" w:name="_Toc195469991"/>
      <w:bookmarkStart w:id="254" w:name="_Toc15193"/>
      <w:bookmarkStart w:id="255" w:name="_Toc4068"/>
      <w:bookmarkStart w:id="256" w:name="_Toc17216"/>
      <w:r>
        <w:rPr>
          <w:rFonts w:hint="eastAsia"/>
          <w:color w:val="000000" w:themeColor="text1"/>
          <w14:textFill>
            <w14:solidFill>
              <w14:schemeClr w14:val="tx1"/>
            </w14:solidFill>
          </w14:textFill>
        </w:rPr>
        <w:t>附录G</w:t>
      </w:r>
      <w:bookmarkEnd w:id="253"/>
      <w:bookmarkEnd w:id="254"/>
      <w:bookmarkEnd w:id="255"/>
      <w:bookmarkEnd w:id="256"/>
      <w:bookmarkStart w:id="257" w:name="_Hlk194957389"/>
    </w:p>
    <w:p w14:paraId="7B2BF744">
      <w:pPr>
        <w:pStyle w:val="89"/>
        <w:rPr>
          <w:color w:val="000000" w:themeColor="text1"/>
          <w14:textFill>
            <w14:solidFill>
              <w14:schemeClr w14:val="tx1"/>
            </w14:solidFill>
          </w14:textFill>
        </w:rPr>
      </w:pPr>
      <w:bookmarkStart w:id="258" w:name="_Toc3234"/>
      <w:bookmarkStart w:id="259" w:name="_Toc18289"/>
      <w:bookmarkStart w:id="260" w:name="_Toc25556"/>
      <w:bookmarkStart w:id="261" w:name="_Toc195469992"/>
      <w:r>
        <w:rPr>
          <w:rFonts w:hint="eastAsia"/>
          <w:color w:val="000000" w:themeColor="text1"/>
          <w14:textFill>
            <w14:solidFill>
              <w14:schemeClr w14:val="tx1"/>
            </w14:solidFill>
          </w14:textFill>
        </w:rPr>
        <w:t>（资料性）</w:t>
      </w:r>
      <w:bookmarkEnd w:id="257"/>
      <w:bookmarkEnd w:id="258"/>
      <w:bookmarkEnd w:id="259"/>
      <w:bookmarkEnd w:id="260"/>
      <w:bookmarkEnd w:id="261"/>
    </w:p>
    <w:p w14:paraId="60B9F8B7">
      <w:pPr>
        <w:pStyle w:val="89"/>
        <w:rPr>
          <w:color w:val="000000" w:themeColor="text1"/>
          <w14:textFill>
            <w14:solidFill>
              <w14:schemeClr w14:val="tx1"/>
            </w14:solidFill>
          </w14:textFill>
        </w:rPr>
      </w:pPr>
      <w:bookmarkStart w:id="262" w:name="_Toc32035"/>
      <w:bookmarkStart w:id="263" w:name="_Toc14355"/>
      <w:bookmarkStart w:id="264" w:name="_Toc195469993"/>
      <w:bookmarkStart w:id="265" w:name="_Toc16312"/>
      <w:r>
        <w:rPr>
          <w:rFonts w:hint="eastAsia"/>
          <w:color w:val="000000" w:themeColor="text1"/>
          <w14:textFill>
            <w14:solidFill>
              <w14:schemeClr w14:val="tx1"/>
            </w14:solidFill>
          </w14:textFill>
        </w:rPr>
        <w:t>冠心病出院患者用药教育表</w:t>
      </w:r>
      <w:bookmarkEnd w:id="262"/>
      <w:bookmarkEnd w:id="263"/>
      <w:bookmarkEnd w:id="264"/>
      <w:bookmarkEnd w:id="265"/>
    </w:p>
    <w:tbl>
      <w:tblPr>
        <w:tblStyle w:val="25"/>
        <w:tblW w:w="8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221"/>
        <w:gridCol w:w="206"/>
        <w:gridCol w:w="1056"/>
        <w:gridCol w:w="203"/>
        <w:gridCol w:w="1133"/>
        <w:gridCol w:w="150"/>
        <w:gridCol w:w="888"/>
        <w:gridCol w:w="417"/>
        <w:gridCol w:w="1951"/>
      </w:tblGrid>
      <w:tr w14:paraId="5E9F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vAlign w:val="center"/>
          </w:tcPr>
          <w:p w14:paraId="59877EFD">
            <w:pPr>
              <w:spacing w:line="240" w:lineRule="auto"/>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姓名</w:t>
            </w:r>
          </w:p>
        </w:tc>
        <w:tc>
          <w:tcPr>
            <w:tcW w:w="1427" w:type="dxa"/>
            <w:gridSpan w:val="2"/>
            <w:tcBorders>
              <w:top w:val="single" w:color="auto" w:sz="4" w:space="0"/>
              <w:left w:val="single" w:color="auto" w:sz="4" w:space="0"/>
              <w:bottom w:val="single" w:color="auto" w:sz="4" w:space="0"/>
              <w:right w:val="single" w:color="auto" w:sz="4" w:space="0"/>
            </w:tcBorders>
            <w:vAlign w:val="center"/>
          </w:tcPr>
          <w:p w14:paraId="3E1F8913">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5ADA7D96">
            <w:pPr>
              <w:spacing w:line="240" w:lineRule="auto"/>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性别</w:t>
            </w:r>
          </w:p>
        </w:tc>
        <w:tc>
          <w:tcPr>
            <w:tcW w:w="1336" w:type="dxa"/>
            <w:gridSpan w:val="2"/>
            <w:tcBorders>
              <w:top w:val="single" w:color="auto" w:sz="4" w:space="0"/>
              <w:left w:val="single" w:color="auto" w:sz="4" w:space="0"/>
              <w:bottom w:val="single" w:color="auto" w:sz="4" w:space="0"/>
              <w:right w:val="single" w:color="auto" w:sz="4" w:space="0"/>
            </w:tcBorders>
            <w:vAlign w:val="center"/>
          </w:tcPr>
          <w:p w14:paraId="0B10BB9D">
            <w:pPr>
              <w:spacing w:line="240" w:lineRule="auto"/>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lang w:bidi="ar"/>
                <w14:textFill>
                  <w14:solidFill>
                    <w14:schemeClr w14:val="tx1"/>
                  </w14:solidFill>
                </w14:textFill>
              </w:rPr>
              <w:t xml:space="preserve">男  </w:t>
            </w:r>
            <w:r>
              <w:rPr>
                <w:rFonts w:ascii="Segoe UI Symbol" w:hAnsi="Segoe UI Symbol" w:cs="Segoe UI Symbol"/>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lang w:bidi="ar"/>
                <w14:textFill>
                  <w14:solidFill>
                    <w14:schemeClr w14:val="tx1"/>
                  </w14:solidFill>
                </w14:textFill>
              </w:rPr>
              <w:t>女</w:t>
            </w:r>
          </w:p>
        </w:tc>
        <w:tc>
          <w:tcPr>
            <w:tcW w:w="1455" w:type="dxa"/>
            <w:gridSpan w:val="3"/>
            <w:tcBorders>
              <w:top w:val="single" w:color="auto" w:sz="4" w:space="0"/>
              <w:left w:val="single" w:color="auto" w:sz="4" w:space="0"/>
              <w:bottom w:val="single" w:color="auto" w:sz="4" w:space="0"/>
              <w:right w:val="single" w:color="auto" w:sz="4" w:space="0"/>
            </w:tcBorders>
            <w:vAlign w:val="center"/>
          </w:tcPr>
          <w:p w14:paraId="1BFA1A87">
            <w:pPr>
              <w:spacing w:line="240" w:lineRule="auto"/>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年龄</w:t>
            </w:r>
          </w:p>
        </w:tc>
        <w:tc>
          <w:tcPr>
            <w:tcW w:w="1951" w:type="dxa"/>
            <w:tcBorders>
              <w:top w:val="single" w:color="auto" w:sz="4" w:space="0"/>
              <w:left w:val="single" w:color="auto" w:sz="4" w:space="0"/>
              <w:bottom w:val="single" w:color="auto" w:sz="4" w:space="0"/>
              <w:right w:val="single" w:color="auto" w:sz="4" w:space="0"/>
            </w:tcBorders>
            <w:vAlign w:val="center"/>
          </w:tcPr>
          <w:p w14:paraId="64D87220">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r>
      <w:tr w14:paraId="7213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68" w:type="dxa"/>
            <w:tcBorders>
              <w:top w:val="single" w:color="auto" w:sz="4" w:space="0"/>
              <w:left w:val="single" w:color="auto" w:sz="4" w:space="0"/>
              <w:bottom w:val="single" w:color="auto" w:sz="4" w:space="0"/>
              <w:right w:val="single" w:color="auto" w:sz="4" w:space="0"/>
            </w:tcBorders>
            <w:vAlign w:val="center"/>
          </w:tcPr>
          <w:p w14:paraId="19D8BA9C">
            <w:pPr>
              <w:spacing w:line="240" w:lineRule="auto"/>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科室</w:t>
            </w:r>
          </w:p>
        </w:tc>
        <w:tc>
          <w:tcPr>
            <w:tcW w:w="1427" w:type="dxa"/>
            <w:gridSpan w:val="2"/>
            <w:tcBorders>
              <w:top w:val="single" w:color="auto" w:sz="4" w:space="0"/>
              <w:left w:val="single" w:color="auto" w:sz="4" w:space="0"/>
              <w:bottom w:val="single" w:color="auto" w:sz="4" w:space="0"/>
              <w:right w:val="single" w:color="auto" w:sz="4" w:space="0"/>
            </w:tcBorders>
            <w:vAlign w:val="center"/>
          </w:tcPr>
          <w:p w14:paraId="2A7BA5D9">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c>
          <w:tcPr>
            <w:tcW w:w="1056" w:type="dxa"/>
            <w:tcBorders>
              <w:top w:val="single" w:color="auto" w:sz="4" w:space="0"/>
              <w:left w:val="single" w:color="auto" w:sz="4" w:space="0"/>
              <w:bottom w:val="single" w:color="auto" w:sz="4" w:space="0"/>
              <w:right w:val="single" w:color="auto" w:sz="4" w:space="0"/>
            </w:tcBorders>
            <w:vAlign w:val="center"/>
          </w:tcPr>
          <w:p w14:paraId="649651FE">
            <w:pPr>
              <w:spacing w:line="240" w:lineRule="auto"/>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病历号</w:t>
            </w:r>
          </w:p>
        </w:tc>
        <w:tc>
          <w:tcPr>
            <w:tcW w:w="1336" w:type="dxa"/>
            <w:gridSpan w:val="2"/>
            <w:tcBorders>
              <w:top w:val="single" w:color="auto" w:sz="4" w:space="0"/>
              <w:left w:val="single" w:color="auto" w:sz="4" w:space="0"/>
              <w:bottom w:val="single" w:color="auto" w:sz="4" w:space="0"/>
              <w:right w:val="single" w:color="auto" w:sz="4" w:space="0"/>
            </w:tcBorders>
            <w:vAlign w:val="center"/>
          </w:tcPr>
          <w:p w14:paraId="75D46725">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c>
          <w:tcPr>
            <w:tcW w:w="1455" w:type="dxa"/>
            <w:gridSpan w:val="3"/>
            <w:tcBorders>
              <w:top w:val="single" w:color="auto" w:sz="4" w:space="0"/>
              <w:left w:val="single" w:color="auto" w:sz="4" w:space="0"/>
              <w:bottom w:val="single" w:color="auto" w:sz="4" w:space="0"/>
              <w:right w:val="single" w:color="auto" w:sz="4" w:space="0"/>
            </w:tcBorders>
            <w:vAlign w:val="center"/>
          </w:tcPr>
          <w:p w14:paraId="7085E987">
            <w:pPr>
              <w:spacing w:line="240" w:lineRule="auto"/>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联系方式</w:t>
            </w:r>
          </w:p>
        </w:tc>
        <w:tc>
          <w:tcPr>
            <w:tcW w:w="1951" w:type="dxa"/>
            <w:tcBorders>
              <w:top w:val="single" w:color="auto" w:sz="4" w:space="0"/>
              <w:left w:val="single" w:color="auto" w:sz="4" w:space="0"/>
              <w:bottom w:val="single" w:color="auto" w:sz="4" w:space="0"/>
              <w:right w:val="single" w:color="auto" w:sz="4" w:space="0"/>
            </w:tcBorders>
            <w:vAlign w:val="center"/>
          </w:tcPr>
          <w:p w14:paraId="5C5CE03E">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r>
      <w:tr w14:paraId="7912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595" w:type="dxa"/>
            <w:gridSpan w:val="3"/>
            <w:tcBorders>
              <w:top w:val="single" w:color="auto" w:sz="4" w:space="0"/>
              <w:left w:val="single" w:color="auto" w:sz="4" w:space="0"/>
              <w:bottom w:val="single" w:color="auto" w:sz="4" w:space="0"/>
              <w:right w:val="single" w:color="auto" w:sz="4" w:space="0"/>
            </w:tcBorders>
            <w:vAlign w:val="center"/>
          </w:tcPr>
          <w:p w14:paraId="76530135">
            <w:pPr>
              <w:spacing w:line="240" w:lineRule="auto"/>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诊断</w:t>
            </w:r>
          </w:p>
        </w:tc>
        <w:tc>
          <w:tcPr>
            <w:tcW w:w="5798" w:type="dxa"/>
            <w:gridSpan w:val="7"/>
            <w:tcBorders>
              <w:top w:val="single" w:color="auto" w:sz="4" w:space="0"/>
              <w:left w:val="single" w:color="auto" w:sz="4" w:space="0"/>
              <w:bottom w:val="single" w:color="auto" w:sz="4" w:space="0"/>
              <w:right w:val="single" w:color="auto" w:sz="4" w:space="0"/>
            </w:tcBorders>
            <w:vAlign w:val="center"/>
          </w:tcPr>
          <w:p w14:paraId="69623EDE">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r>
      <w:tr w14:paraId="1918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3" w:type="dxa"/>
            <w:gridSpan w:val="10"/>
            <w:tcBorders>
              <w:top w:val="single" w:color="auto" w:sz="4" w:space="0"/>
              <w:left w:val="single" w:color="auto" w:sz="4" w:space="0"/>
              <w:bottom w:val="single" w:color="auto" w:sz="4" w:space="0"/>
              <w:right w:val="single" w:color="auto" w:sz="4" w:space="0"/>
            </w:tcBorders>
            <w:vAlign w:val="center"/>
          </w:tcPr>
          <w:p w14:paraId="61085E59">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主要药物及用法用量</w:t>
            </w:r>
          </w:p>
        </w:tc>
      </w:tr>
      <w:tr w14:paraId="7F29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168" w:type="dxa"/>
            <w:tcBorders>
              <w:top w:val="single" w:color="auto" w:sz="4" w:space="0"/>
              <w:left w:val="single" w:color="auto" w:sz="4" w:space="0"/>
              <w:right w:val="single" w:color="auto" w:sz="4" w:space="0"/>
            </w:tcBorders>
            <w:vAlign w:val="center"/>
          </w:tcPr>
          <w:p w14:paraId="58EA8269">
            <w:pPr>
              <w:spacing w:line="240" w:lineRule="auto"/>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药物名称</w:t>
            </w:r>
          </w:p>
        </w:tc>
        <w:tc>
          <w:tcPr>
            <w:tcW w:w="1427" w:type="dxa"/>
            <w:gridSpan w:val="2"/>
            <w:tcBorders>
              <w:top w:val="single" w:color="auto" w:sz="4" w:space="0"/>
              <w:left w:val="single" w:color="auto" w:sz="4" w:space="0"/>
              <w:right w:val="single" w:color="auto" w:sz="4" w:space="0"/>
            </w:tcBorders>
            <w:vAlign w:val="center"/>
          </w:tcPr>
          <w:p w14:paraId="3799D1EF">
            <w:pPr>
              <w:spacing w:line="240" w:lineRule="auto"/>
              <w:ind w:firstLine="0" w:firstLineChars="0"/>
              <w:jc w:val="center"/>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用法用量（剂量、频次、时间、途径）</w:t>
            </w:r>
          </w:p>
        </w:tc>
        <w:tc>
          <w:tcPr>
            <w:tcW w:w="1259" w:type="dxa"/>
            <w:gridSpan w:val="2"/>
            <w:tcBorders>
              <w:top w:val="single" w:color="auto" w:sz="4" w:space="0"/>
              <w:left w:val="single" w:color="auto" w:sz="4" w:space="0"/>
              <w:right w:val="single" w:color="auto" w:sz="4" w:space="0"/>
            </w:tcBorders>
            <w:vAlign w:val="center"/>
          </w:tcPr>
          <w:p w14:paraId="231784DC">
            <w:pPr>
              <w:spacing w:line="240" w:lineRule="auto"/>
              <w:ind w:firstLine="0" w:firstLineChars="0"/>
              <w:jc w:val="center"/>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早</w:t>
            </w:r>
          </w:p>
        </w:tc>
        <w:tc>
          <w:tcPr>
            <w:tcW w:w="1283" w:type="dxa"/>
            <w:gridSpan w:val="2"/>
            <w:tcBorders>
              <w:top w:val="single" w:color="auto" w:sz="4" w:space="0"/>
              <w:left w:val="single" w:color="auto" w:sz="4" w:space="0"/>
              <w:right w:val="single" w:color="auto" w:sz="4" w:space="0"/>
            </w:tcBorders>
            <w:vAlign w:val="center"/>
          </w:tcPr>
          <w:p w14:paraId="5850A6E4">
            <w:pPr>
              <w:spacing w:line="240" w:lineRule="auto"/>
              <w:ind w:firstLine="0" w:firstLineChars="0"/>
              <w:jc w:val="center"/>
              <w:rPr>
                <w:rFonts w:ascii="Times New Roman" w:hAnsi="Times New Roman" w:cs="Times New Roman"/>
                <w:color w:val="000000" w:themeColor="text1"/>
                <w:sz w:val="18"/>
                <w:szCs w:val="18"/>
                <w:lang w:bidi="ar"/>
                <w14:textFill>
                  <w14:solidFill>
                    <w14:schemeClr w14:val="tx1"/>
                  </w14:solidFill>
                </w14:textFill>
              </w:rPr>
            </w:pPr>
            <w:r>
              <w:rPr>
                <w:rFonts w:hint="eastAsia" w:ascii="Times New Roman" w:hAnsi="Times New Roman" w:cs="Times New Roman"/>
                <w:color w:val="000000" w:themeColor="text1"/>
                <w:sz w:val="18"/>
                <w:szCs w:val="18"/>
                <w:lang w:bidi="ar"/>
                <w14:textFill>
                  <w14:solidFill>
                    <w14:schemeClr w14:val="tx1"/>
                  </w14:solidFill>
                </w14:textFill>
              </w:rPr>
              <w:t>中</w:t>
            </w:r>
          </w:p>
        </w:tc>
        <w:tc>
          <w:tcPr>
            <w:tcW w:w="1305" w:type="dxa"/>
            <w:gridSpan w:val="2"/>
            <w:tcBorders>
              <w:top w:val="single" w:color="auto" w:sz="4" w:space="0"/>
              <w:left w:val="single" w:color="auto" w:sz="4" w:space="0"/>
              <w:right w:val="single" w:color="auto" w:sz="4" w:space="0"/>
            </w:tcBorders>
            <w:vAlign w:val="center"/>
          </w:tcPr>
          <w:p w14:paraId="291F50CC">
            <w:pPr>
              <w:spacing w:line="240" w:lineRule="auto"/>
              <w:ind w:firstLine="0" w:firstLineChars="0"/>
              <w:jc w:val="center"/>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晚</w:t>
            </w:r>
          </w:p>
        </w:tc>
        <w:tc>
          <w:tcPr>
            <w:tcW w:w="1951" w:type="dxa"/>
            <w:tcBorders>
              <w:top w:val="single" w:color="auto" w:sz="4" w:space="0"/>
              <w:left w:val="single" w:color="auto" w:sz="4" w:space="0"/>
              <w:bottom w:val="single" w:color="auto" w:sz="4" w:space="0"/>
              <w:right w:val="single" w:color="auto" w:sz="4" w:space="0"/>
            </w:tcBorders>
            <w:vAlign w:val="center"/>
          </w:tcPr>
          <w:p w14:paraId="316B5F07">
            <w:pPr>
              <w:spacing w:line="240" w:lineRule="auto"/>
              <w:ind w:firstLine="0" w:firstLineChars="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给药目的</w:t>
            </w:r>
          </w:p>
        </w:tc>
      </w:tr>
      <w:tr w14:paraId="2735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vAlign w:val="center"/>
          </w:tcPr>
          <w:p w14:paraId="70DC9BDE">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c>
          <w:tcPr>
            <w:tcW w:w="1427" w:type="dxa"/>
            <w:gridSpan w:val="2"/>
            <w:tcBorders>
              <w:top w:val="single" w:color="auto" w:sz="4" w:space="0"/>
              <w:left w:val="single" w:color="auto" w:sz="4" w:space="0"/>
              <w:bottom w:val="single" w:color="auto" w:sz="4" w:space="0"/>
              <w:right w:val="single" w:color="auto" w:sz="4" w:space="0"/>
            </w:tcBorders>
            <w:vAlign w:val="center"/>
          </w:tcPr>
          <w:p w14:paraId="5A549127">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c>
          <w:tcPr>
            <w:tcW w:w="1259" w:type="dxa"/>
            <w:gridSpan w:val="2"/>
            <w:tcBorders>
              <w:top w:val="single" w:color="auto" w:sz="4" w:space="0"/>
              <w:left w:val="single" w:color="auto" w:sz="4" w:space="0"/>
              <w:bottom w:val="single" w:color="auto" w:sz="4" w:space="0"/>
              <w:right w:val="single" w:color="auto" w:sz="4" w:space="0"/>
            </w:tcBorders>
          </w:tcPr>
          <w:p w14:paraId="79516898">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283" w:type="dxa"/>
            <w:gridSpan w:val="2"/>
            <w:tcBorders>
              <w:top w:val="single" w:color="auto" w:sz="4" w:space="0"/>
              <w:left w:val="single" w:color="auto" w:sz="4" w:space="0"/>
              <w:bottom w:val="single" w:color="auto" w:sz="4" w:space="0"/>
              <w:right w:val="single" w:color="auto" w:sz="4" w:space="0"/>
            </w:tcBorders>
          </w:tcPr>
          <w:p w14:paraId="432690D8">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305" w:type="dxa"/>
            <w:gridSpan w:val="2"/>
            <w:tcBorders>
              <w:top w:val="single" w:color="auto" w:sz="4" w:space="0"/>
              <w:left w:val="single" w:color="auto" w:sz="4" w:space="0"/>
              <w:bottom w:val="single" w:color="auto" w:sz="4" w:space="0"/>
              <w:right w:val="single" w:color="auto" w:sz="4" w:space="0"/>
            </w:tcBorders>
          </w:tcPr>
          <w:p w14:paraId="398F9199">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951" w:type="dxa"/>
            <w:tcBorders>
              <w:top w:val="single" w:color="auto" w:sz="4" w:space="0"/>
              <w:left w:val="single" w:color="auto" w:sz="4" w:space="0"/>
              <w:bottom w:val="single" w:color="auto" w:sz="4" w:space="0"/>
              <w:right w:val="single" w:color="auto" w:sz="4" w:space="0"/>
            </w:tcBorders>
            <w:vAlign w:val="center"/>
          </w:tcPr>
          <w:p w14:paraId="53D18055">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r>
      <w:tr w14:paraId="0E3E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vAlign w:val="center"/>
          </w:tcPr>
          <w:p w14:paraId="3E8C7649">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c>
          <w:tcPr>
            <w:tcW w:w="1427" w:type="dxa"/>
            <w:gridSpan w:val="2"/>
            <w:tcBorders>
              <w:top w:val="single" w:color="auto" w:sz="4" w:space="0"/>
              <w:left w:val="single" w:color="auto" w:sz="4" w:space="0"/>
              <w:bottom w:val="single" w:color="auto" w:sz="4" w:space="0"/>
              <w:right w:val="single" w:color="auto" w:sz="4" w:space="0"/>
            </w:tcBorders>
            <w:vAlign w:val="center"/>
          </w:tcPr>
          <w:p w14:paraId="2DA2B1F3">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c>
          <w:tcPr>
            <w:tcW w:w="1259" w:type="dxa"/>
            <w:gridSpan w:val="2"/>
            <w:tcBorders>
              <w:top w:val="single" w:color="auto" w:sz="4" w:space="0"/>
              <w:left w:val="single" w:color="auto" w:sz="4" w:space="0"/>
              <w:bottom w:val="single" w:color="auto" w:sz="4" w:space="0"/>
              <w:right w:val="single" w:color="auto" w:sz="4" w:space="0"/>
            </w:tcBorders>
          </w:tcPr>
          <w:p w14:paraId="5591928A">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283" w:type="dxa"/>
            <w:gridSpan w:val="2"/>
            <w:tcBorders>
              <w:top w:val="single" w:color="auto" w:sz="4" w:space="0"/>
              <w:left w:val="single" w:color="auto" w:sz="4" w:space="0"/>
              <w:bottom w:val="single" w:color="auto" w:sz="4" w:space="0"/>
              <w:right w:val="single" w:color="auto" w:sz="4" w:space="0"/>
            </w:tcBorders>
          </w:tcPr>
          <w:p w14:paraId="4CAF9B1D">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305" w:type="dxa"/>
            <w:gridSpan w:val="2"/>
            <w:tcBorders>
              <w:top w:val="single" w:color="auto" w:sz="4" w:space="0"/>
              <w:left w:val="single" w:color="auto" w:sz="4" w:space="0"/>
              <w:bottom w:val="single" w:color="auto" w:sz="4" w:space="0"/>
              <w:right w:val="single" w:color="auto" w:sz="4" w:space="0"/>
            </w:tcBorders>
          </w:tcPr>
          <w:p w14:paraId="07DE7F5B">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951" w:type="dxa"/>
            <w:tcBorders>
              <w:top w:val="single" w:color="auto" w:sz="4" w:space="0"/>
              <w:left w:val="single" w:color="auto" w:sz="4" w:space="0"/>
              <w:bottom w:val="single" w:color="auto" w:sz="4" w:space="0"/>
              <w:right w:val="single" w:color="auto" w:sz="4" w:space="0"/>
            </w:tcBorders>
            <w:vAlign w:val="center"/>
          </w:tcPr>
          <w:p w14:paraId="7DC87509">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r>
      <w:tr w14:paraId="47B2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vAlign w:val="center"/>
          </w:tcPr>
          <w:p w14:paraId="1BAC4D27">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c>
          <w:tcPr>
            <w:tcW w:w="1427" w:type="dxa"/>
            <w:gridSpan w:val="2"/>
            <w:tcBorders>
              <w:top w:val="single" w:color="auto" w:sz="4" w:space="0"/>
              <w:left w:val="single" w:color="auto" w:sz="4" w:space="0"/>
              <w:bottom w:val="single" w:color="auto" w:sz="4" w:space="0"/>
              <w:right w:val="single" w:color="auto" w:sz="4" w:space="0"/>
            </w:tcBorders>
            <w:vAlign w:val="center"/>
          </w:tcPr>
          <w:p w14:paraId="3C1896DA">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c>
          <w:tcPr>
            <w:tcW w:w="1259" w:type="dxa"/>
            <w:gridSpan w:val="2"/>
            <w:tcBorders>
              <w:top w:val="single" w:color="auto" w:sz="4" w:space="0"/>
              <w:left w:val="single" w:color="auto" w:sz="4" w:space="0"/>
              <w:bottom w:val="single" w:color="auto" w:sz="4" w:space="0"/>
              <w:right w:val="single" w:color="auto" w:sz="4" w:space="0"/>
            </w:tcBorders>
          </w:tcPr>
          <w:p w14:paraId="16600031">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283" w:type="dxa"/>
            <w:gridSpan w:val="2"/>
            <w:tcBorders>
              <w:top w:val="single" w:color="auto" w:sz="4" w:space="0"/>
              <w:left w:val="single" w:color="auto" w:sz="4" w:space="0"/>
              <w:bottom w:val="single" w:color="auto" w:sz="4" w:space="0"/>
              <w:right w:val="single" w:color="auto" w:sz="4" w:space="0"/>
            </w:tcBorders>
          </w:tcPr>
          <w:p w14:paraId="7BF406DA">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305" w:type="dxa"/>
            <w:gridSpan w:val="2"/>
            <w:tcBorders>
              <w:top w:val="single" w:color="auto" w:sz="4" w:space="0"/>
              <w:left w:val="single" w:color="auto" w:sz="4" w:space="0"/>
              <w:bottom w:val="single" w:color="auto" w:sz="4" w:space="0"/>
              <w:right w:val="single" w:color="auto" w:sz="4" w:space="0"/>
            </w:tcBorders>
          </w:tcPr>
          <w:p w14:paraId="5BB7DC18">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951" w:type="dxa"/>
            <w:tcBorders>
              <w:top w:val="single" w:color="auto" w:sz="4" w:space="0"/>
              <w:left w:val="single" w:color="auto" w:sz="4" w:space="0"/>
              <w:bottom w:val="single" w:color="auto" w:sz="4" w:space="0"/>
              <w:right w:val="single" w:color="auto" w:sz="4" w:space="0"/>
            </w:tcBorders>
            <w:vAlign w:val="center"/>
          </w:tcPr>
          <w:p w14:paraId="37836B26">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r>
      <w:tr w14:paraId="5D1F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vAlign w:val="center"/>
          </w:tcPr>
          <w:p w14:paraId="1EAFDBC9">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c>
          <w:tcPr>
            <w:tcW w:w="1427" w:type="dxa"/>
            <w:gridSpan w:val="2"/>
            <w:tcBorders>
              <w:top w:val="single" w:color="auto" w:sz="4" w:space="0"/>
              <w:left w:val="single" w:color="auto" w:sz="4" w:space="0"/>
              <w:bottom w:val="single" w:color="auto" w:sz="4" w:space="0"/>
              <w:right w:val="single" w:color="auto" w:sz="4" w:space="0"/>
            </w:tcBorders>
            <w:vAlign w:val="center"/>
          </w:tcPr>
          <w:p w14:paraId="5B8F6E75">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c>
          <w:tcPr>
            <w:tcW w:w="1259" w:type="dxa"/>
            <w:gridSpan w:val="2"/>
            <w:tcBorders>
              <w:top w:val="single" w:color="auto" w:sz="4" w:space="0"/>
              <w:left w:val="single" w:color="auto" w:sz="4" w:space="0"/>
              <w:bottom w:val="single" w:color="auto" w:sz="4" w:space="0"/>
              <w:right w:val="single" w:color="auto" w:sz="4" w:space="0"/>
            </w:tcBorders>
          </w:tcPr>
          <w:p w14:paraId="288D6070">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283" w:type="dxa"/>
            <w:gridSpan w:val="2"/>
            <w:tcBorders>
              <w:top w:val="single" w:color="auto" w:sz="4" w:space="0"/>
              <w:left w:val="single" w:color="auto" w:sz="4" w:space="0"/>
              <w:bottom w:val="single" w:color="auto" w:sz="4" w:space="0"/>
              <w:right w:val="single" w:color="auto" w:sz="4" w:space="0"/>
            </w:tcBorders>
          </w:tcPr>
          <w:p w14:paraId="52B96BAC">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305" w:type="dxa"/>
            <w:gridSpan w:val="2"/>
            <w:tcBorders>
              <w:top w:val="single" w:color="auto" w:sz="4" w:space="0"/>
              <w:left w:val="single" w:color="auto" w:sz="4" w:space="0"/>
              <w:bottom w:val="single" w:color="auto" w:sz="4" w:space="0"/>
              <w:right w:val="single" w:color="auto" w:sz="4" w:space="0"/>
            </w:tcBorders>
          </w:tcPr>
          <w:p w14:paraId="2E648E29">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951" w:type="dxa"/>
            <w:tcBorders>
              <w:top w:val="single" w:color="auto" w:sz="4" w:space="0"/>
              <w:left w:val="single" w:color="auto" w:sz="4" w:space="0"/>
              <w:bottom w:val="single" w:color="auto" w:sz="4" w:space="0"/>
              <w:right w:val="single" w:color="auto" w:sz="4" w:space="0"/>
            </w:tcBorders>
            <w:vAlign w:val="center"/>
          </w:tcPr>
          <w:p w14:paraId="62AE8B37">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r>
      <w:tr w14:paraId="2E9A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vAlign w:val="center"/>
          </w:tcPr>
          <w:p w14:paraId="240B985F">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c>
          <w:tcPr>
            <w:tcW w:w="1427" w:type="dxa"/>
            <w:gridSpan w:val="2"/>
            <w:tcBorders>
              <w:top w:val="single" w:color="auto" w:sz="4" w:space="0"/>
              <w:left w:val="single" w:color="auto" w:sz="4" w:space="0"/>
              <w:bottom w:val="single" w:color="auto" w:sz="4" w:space="0"/>
              <w:right w:val="single" w:color="auto" w:sz="4" w:space="0"/>
            </w:tcBorders>
            <w:vAlign w:val="center"/>
          </w:tcPr>
          <w:p w14:paraId="6BE13985">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c>
          <w:tcPr>
            <w:tcW w:w="1259" w:type="dxa"/>
            <w:gridSpan w:val="2"/>
            <w:tcBorders>
              <w:top w:val="single" w:color="auto" w:sz="4" w:space="0"/>
              <w:left w:val="single" w:color="auto" w:sz="4" w:space="0"/>
              <w:bottom w:val="single" w:color="auto" w:sz="4" w:space="0"/>
              <w:right w:val="single" w:color="auto" w:sz="4" w:space="0"/>
            </w:tcBorders>
          </w:tcPr>
          <w:p w14:paraId="3A688852">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283" w:type="dxa"/>
            <w:gridSpan w:val="2"/>
            <w:tcBorders>
              <w:top w:val="single" w:color="auto" w:sz="4" w:space="0"/>
              <w:left w:val="single" w:color="auto" w:sz="4" w:space="0"/>
              <w:bottom w:val="single" w:color="auto" w:sz="4" w:space="0"/>
              <w:right w:val="single" w:color="auto" w:sz="4" w:space="0"/>
            </w:tcBorders>
          </w:tcPr>
          <w:p w14:paraId="574285EF">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305" w:type="dxa"/>
            <w:gridSpan w:val="2"/>
            <w:tcBorders>
              <w:top w:val="single" w:color="auto" w:sz="4" w:space="0"/>
              <w:left w:val="single" w:color="auto" w:sz="4" w:space="0"/>
              <w:bottom w:val="single" w:color="auto" w:sz="4" w:space="0"/>
              <w:right w:val="single" w:color="auto" w:sz="4" w:space="0"/>
            </w:tcBorders>
          </w:tcPr>
          <w:p w14:paraId="2E18FAFE">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951" w:type="dxa"/>
            <w:tcBorders>
              <w:top w:val="single" w:color="auto" w:sz="4" w:space="0"/>
              <w:left w:val="single" w:color="auto" w:sz="4" w:space="0"/>
              <w:bottom w:val="single" w:color="auto" w:sz="4" w:space="0"/>
              <w:right w:val="single" w:color="auto" w:sz="4" w:space="0"/>
            </w:tcBorders>
            <w:vAlign w:val="center"/>
          </w:tcPr>
          <w:p w14:paraId="0F619B99">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r>
      <w:tr w14:paraId="2CD1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vAlign w:val="center"/>
          </w:tcPr>
          <w:p w14:paraId="08B62419">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c>
          <w:tcPr>
            <w:tcW w:w="1427" w:type="dxa"/>
            <w:gridSpan w:val="2"/>
            <w:tcBorders>
              <w:top w:val="single" w:color="auto" w:sz="4" w:space="0"/>
              <w:left w:val="single" w:color="auto" w:sz="4" w:space="0"/>
              <w:bottom w:val="single" w:color="auto" w:sz="4" w:space="0"/>
              <w:right w:val="single" w:color="auto" w:sz="4" w:space="0"/>
            </w:tcBorders>
            <w:vAlign w:val="center"/>
          </w:tcPr>
          <w:p w14:paraId="4E93982A">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c>
          <w:tcPr>
            <w:tcW w:w="1259" w:type="dxa"/>
            <w:gridSpan w:val="2"/>
            <w:tcBorders>
              <w:top w:val="single" w:color="auto" w:sz="4" w:space="0"/>
              <w:left w:val="single" w:color="auto" w:sz="4" w:space="0"/>
              <w:bottom w:val="single" w:color="auto" w:sz="4" w:space="0"/>
              <w:right w:val="single" w:color="auto" w:sz="4" w:space="0"/>
            </w:tcBorders>
          </w:tcPr>
          <w:p w14:paraId="0F416F3C">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283" w:type="dxa"/>
            <w:gridSpan w:val="2"/>
            <w:tcBorders>
              <w:top w:val="single" w:color="auto" w:sz="4" w:space="0"/>
              <w:left w:val="single" w:color="auto" w:sz="4" w:space="0"/>
              <w:bottom w:val="single" w:color="auto" w:sz="4" w:space="0"/>
              <w:right w:val="single" w:color="auto" w:sz="4" w:space="0"/>
            </w:tcBorders>
          </w:tcPr>
          <w:p w14:paraId="5C54FA75">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305" w:type="dxa"/>
            <w:gridSpan w:val="2"/>
            <w:tcBorders>
              <w:top w:val="single" w:color="auto" w:sz="4" w:space="0"/>
              <w:left w:val="single" w:color="auto" w:sz="4" w:space="0"/>
              <w:bottom w:val="single" w:color="auto" w:sz="4" w:space="0"/>
              <w:right w:val="single" w:color="auto" w:sz="4" w:space="0"/>
            </w:tcBorders>
          </w:tcPr>
          <w:p w14:paraId="4319340B">
            <w:pPr>
              <w:spacing w:line="240" w:lineRule="auto"/>
              <w:ind w:firstLine="0" w:firstLineChars="0"/>
              <w:rPr>
                <w:rFonts w:ascii="Times New Roman" w:hAnsi="Times New Roman" w:cs="Times New Roman"/>
                <w:color w:val="000000" w:themeColor="text1"/>
                <w:sz w:val="18"/>
                <w:szCs w:val="18"/>
                <w14:textFill>
                  <w14:solidFill>
                    <w14:schemeClr w14:val="tx1"/>
                  </w14:solidFill>
                </w14:textFill>
              </w:rPr>
            </w:pPr>
          </w:p>
        </w:tc>
        <w:tc>
          <w:tcPr>
            <w:tcW w:w="1951" w:type="dxa"/>
            <w:tcBorders>
              <w:top w:val="single" w:color="auto" w:sz="4" w:space="0"/>
              <w:left w:val="single" w:color="auto" w:sz="4" w:space="0"/>
              <w:bottom w:val="single" w:color="auto" w:sz="4" w:space="0"/>
              <w:right w:val="single" w:color="auto" w:sz="4" w:space="0"/>
            </w:tcBorders>
            <w:vAlign w:val="center"/>
          </w:tcPr>
          <w:p w14:paraId="38EE6629">
            <w:pPr>
              <w:spacing w:line="240" w:lineRule="auto"/>
              <w:ind w:firstLine="360"/>
              <w:jc w:val="center"/>
              <w:rPr>
                <w:rFonts w:ascii="Times New Roman" w:hAnsi="Times New Roman" w:cs="Times New Roman"/>
                <w:color w:val="000000" w:themeColor="text1"/>
                <w:sz w:val="18"/>
                <w:szCs w:val="18"/>
                <w14:textFill>
                  <w14:solidFill>
                    <w14:schemeClr w14:val="tx1"/>
                  </w14:solidFill>
                </w14:textFill>
              </w:rPr>
            </w:pPr>
          </w:p>
        </w:tc>
      </w:tr>
      <w:tr w14:paraId="6874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8393" w:type="dxa"/>
            <w:gridSpan w:val="10"/>
            <w:tcBorders>
              <w:top w:val="single" w:color="auto" w:sz="4" w:space="0"/>
              <w:left w:val="single" w:color="auto" w:sz="4" w:space="0"/>
              <w:right w:val="single" w:color="auto" w:sz="4" w:space="0"/>
            </w:tcBorders>
          </w:tcPr>
          <w:p w14:paraId="0DE6C083">
            <w:pPr>
              <w:spacing w:line="240" w:lineRule="auto"/>
              <w:ind w:firstLine="0" w:firstLineChars="0"/>
              <w:rPr>
                <w:rFonts w:ascii="Times New Roman" w:hAnsi="Times New Roman" w:cs="Times New Roman"/>
                <w:color w:val="000000" w:themeColor="text1"/>
                <w:sz w:val="18"/>
                <w:szCs w:val="18"/>
                <w:lang w:bidi="ar"/>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用药教育主要内容</w:t>
            </w:r>
          </w:p>
        </w:tc>
      </w:tr>
      <w:tr w14:paraId="5E33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389" w:type="dxa"/>
            <w:gridSpan w:val="2"/>
            <w:tcBorders>
              <w:top w:val="single" w:color="auto" w:sz="4" w:space="0"/>
              <w:left w:val="single" w:color="auto" w:sz="4" w:space="0"/>
              <w:bottom w:val="single" w:color="auto" w:sz="4" w:space="0"/>
              <w:right w:val="single" w:color="auto" w:sz="4" w:space="0"/>
            </w:tcBorders>
            <w:vAlign w:val="center"/>
          </w:tcPr>
          <w:p w14:paraId="4858FED9">
            <w:pPr>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药师签字：</w:t>
            </w:r>
          </w:p>
        </w:tc>
        <w:tc>
          <w:tcPr>
            <w:tcW w:w="3636" w:type="dxa"/>
            <w:gridSpan w:val="6"/>
            <w:tcBorders>
              <w:top w:val="single" w:color="auto" w:sz="4" w:space="0"/>
              <w:left w:val="single" w:color="auto" w:sz="4" w:space="0"/>
              <w:bottom w:val="single" w:color="auto" w:sz="4" w:space="0"/>
              <w:right w:val="single" w:color="auto" w:sz="4" w:space="0"/>
            </w:tcBorders>
            <w:vAlign w:val="center"/>
          </w:tcPr>
          <w:p w14:paraId="1935A439">
            <w:pPr>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患者/家属签字：</w:t>
            </w:r>
          </w:p>
        </w:tc>
        <w:tc>
          <w:tcPr>
            <w:tcW w:w="2368" w:type="dxa"/>
            <w:gridSpan w:val="2"/>
            <w:tcBorders>
              <w:top w:val="single" w:color="auto" w:sz="4" w:space="0"/>
              <w:left w:val="single" w:color="auto" w:sz="4" w:space="0"/>
              <w:bottom w:val="single" w:color="auto" w:sz="4" w:space="0"/>
              <w:right w:val="single" w:color="auto" w:sz="4" w:space="0"/>
            </w:tcBorders>
            <w:vAlign w:val="center"/>
          </w:tcPr>
          <w:p w14:paraId="39E9ECEF">
            <w:pPr>
              <w:ind w:firstLine="0" w:firstLineChars="0"/>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bidi="ar"/>
                <w14:textFill>
                  <w14:solidFill>
                    <w14:schemeClr w14:val="tx1"/>
                  </w14:solidFill>
                </w14:textFill>
              </w:rPr>
              <w:t>日期：</w:t>
            </w:r>
          </w:p>
        </w:tc>
      </w:tr>
    </w:tbl>
    <w:p w14:paraId="72D9F1BD">
      <w:pPr>
        <w:pStyle w:val="89"/>
        <w:ind w:firstLine="420"/>
        <w:rPr>
          <w:rFonts w:ascii="Times New Roman" w:hAnsi="Times New Roman" w:cs="Times New Roman"/>
          <w:color w:val="000000" w:themeColor="text1"/>
          <w:szCs w:val="28"/>
          <w14:textFill>
            <w14:solidFill>
              <w14:schemeClr w14:val="tx1"/>
            </w14:solidFill>
          </w14:textFill>
        </w:rPr>
      </w:pPr>
    </w:p>
    <w:p w14:paraId="2E1BE6E8">
      <w:pPr>
        <w:pStyle w:val="89"/>
        <w:ind w:firstLine="420"/>
        <w:rPr>
          <w:rFonts w:ascii="Times New Roman" w:hAnsi="Times New Roman" w:cs="Times New Roman"/>
          <w:color w:val="000000" w:themeColor="text1"/>
          <w:szCs w:val="28"/>
          <w14:textFill>
            <w14:solidFill>
              <w14:schemeClr w14:val="tx1"/>
            </w14:solidFill>
          </w14:textFill>
        </w:rPr>
      </w:pPr>
    </w:p>
    <w:p w14:paraId="7F7626DF">
      <w:pPr>
        <w:pStyle w:val="89"/>
        <w:ind w:firstLine="420"/>
        <w:rPr>
          <w:color w:val="000000" w:themeColor="text1"/>
          <w14:textFill>
            <w14:solidFill>
              <w14:schemeClr w14:val="tx1"/>
            </w14:solidFill>
          </w14:textFill>
        </w:rPr>
      </w:pPr>
    </w:p>
    <w:p w14:paraId="72BE3BFC">
      <w:pPr>
        <w:widowControl/>
        <w:spacing w:line="240" w:lineRule="auto"/>
        <w:ind w:firstLine="0" w:firstLineChars="0"/>
        <w:jc w:val="left"/>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br w:type="page"/>
      </w:r>
    </w:p>
    <w:p w14:paraId="07101FDF">
      <w:pPr>
        <w:pStyle w:val="89"/>
        <w:rPr>
          <w:color w:val="000000" w:themeColor="text1"/>
          <w14:textFill>
            <w14:solidFill>
              <w14:schemeClr w14:val="tx1"/>
            </w14:solidFill>
          </w14:textFill>
        </w:rPr>
      </w:pPr>
      <w:bookmarkStart w:id="266" w:name="_Toc9908"/>
      <w:bookmarkStart w:id="267" w:name="_Toc30307"/>
      <w:bookmarkStart w:id="268" w:name="_Toc195469994"/>
      <w:bookmarkStart w:id="269" w:name="_Toc3324"/>
      <w:r>
        <w:rPr>
          <w:rFonts w:hint="eastAsia"/>
          <w:color w:val="000000" w:themeColor="text1"/>
          <w14:textFill>
            <w14:solidFill>
              <w14:schemeClr w14:val="tx1"/>
            </w14:solidFill>
          </w14:textFill>
        </w:rPr>
        <w:t>附录H</w:t>
      </w:r>
      <w:bookmarkEnd w:id="266"/>
      <w:bookmarkEnd w:id="267"/>
      <w:bookmarkEnd w:id="268"/>
      <w:bookmarkEnd w:id="269"/>
    </w:p>
    <w:p w14:paraId="10A36217">
      <w:pPr>
        <w:pStyle w:val="89"/>
        <w:rPr>
          <w:color w:val="000000" w:themeColor="text1"/>
          <w14:textFill>
            <w14:solidFill>
              <w14:schemeClr w14:val="tx1"/>
            </w14:solidFill>
          </w14:textFill>
        </w:rPr>
      </w:pPr>
      <w:bookmarkStart w:id="270" w:name="_Toc32381"/>
      <w:bookmarkStart w:id="271" w:name="_Toc712"/>
      <w:bookmarkStart w:id="272" w:name="_Toc195469995"/>
      <w:bookmarkStart w:id="273" w:name="_Toc15483"/>
      <w:r>
        <w:rPr>
          <w:rFonts w:hint="eastAsia"/>
          <w:color w:val="000000" w:themeColor="text1"/>
          <w14:textFill>
            <w14:solidFill>
              <w14:schemeClr w14:val="tx1"/>
            </w14:solidFill>
          </w14:textFill>
        </w:rPr>
        <w:t>（资料性）</w:t>
      </w:r>
      <w:bookmarkEnd w:id="270"/>
      <w:bookmarkEnd w:id="271"/>
      <w:bookmarkEnd w:id="272"/>
      <w:bookmarkEnd w:id="273"/>
    </w:p>
    <w:p w14:paraId="66F6C90C">
      <w:pPr>
        <w:pStyle w:val="89"/>
        <w:rPr>
          <w:color w:val="000000" w:themeColor="text1"/>
          <w14:textFill>
            <w14:solidFill>
              <w14:schemeClr w14:val="tx1"/>
            </w14:solidFill>
          </w14:textFill>
        </w:rPr>
      </w:pPr>
      <w:bookmarkStart w:id="274" w:name="_Toc195469996"/>
      <w:bookmarkStart w:id="275" w:name="_Toc24091"/>
      <w:bookmarkStart w:id="276" w:name="_Toc27448"/>
      <w:bookmarkStart w:id="277" w:name="_Toc30883"/>
      <w:r>
        <w:rPr>
          <w:rFonts w:hint="eastAsia"/>
          <w:color w:val="000000" w:themeColor="text1"/>
          <w14:textFill>
            <w14:solidFill>
              <w14:schemeClr w14:val="tx1"/>
            </w14:solidFill>
          </w14:textFill>
        </w:rPr>
        <w:t>冠心病患者药物治疗管理随访记录单</w:t>
      </w:r>
      <w:bookmarkEnd w:id="274"/>
      <w:bookmarkEnd w:id="275"/>
      <w:bookmarkEnd w:id="276"/>
      <w:bookmarkEnd w:id="277"/>
    </w:p>
    <w:tbl>
      <w:tblPr>
        <w:tblStyle w:val="7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1607"/>
        <w:gridCol w:w="532"/>
        <w:gridCol w:w="1068"/>
        <w:gridCol w:w="1068"/>
        <w:gridCol w:w="529"/>
        <w:gridCol w:w="1603"/>
      </w:tblGrid>
      <w:tr w14:paraId="1DF1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000" w:type="pct"/>
            <w:gridSpan w:val="7"/>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248BB025">
            <w:pPr>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患者基本信息</w:t>
            </w:r>
          </w:p>
        </w:tc>
      </w:tr>
      <w:tr w14:paraId="0968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6EBB3">
            <w:pPr>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姓名</w:t>
            </w:r>
          </w:p>
        </w:tc>
        <w:tc>
          <w:tcPr>
            <w:tcW w:w="125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5D18FC">
            <w:pPr>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rPr>
            </w:pPr>
          </w:p>
        </w:tc>
        <w:tc>
          <w:tcPr>
            <w:tcW w:w="1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941EB1">
            <w:pPr>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年龄</w:t>
            </w:r>
          </w:p>
        </w:tc>
        <w:tc>
          <w:tcPr>
            <w:tcW w:w="124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6A270C">
            <w:pPr>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rPr>
            </w:pPr>
          </w:p>
        </w:tc>
      </w:tr>
      <w:tr w14:paraId="3741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48A84">
            <w:pPr>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性别</w:t>
            </w:r>
          </w:p>
        </w:tc>
        <w:tc>
          <w:tcPr>
            <w:tcW w:w="125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02B628">
            <w:pPr>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rPr>
            </w:pPr>
          </w:p>
        </w:tc>
        <w:tc>
          <w:tcPr>
            <w:tcW w:w="1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12EBF4">
            <w:pPr>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联系方式</w:t>
            </w:r>
          </w:p>
        </w:tc>
        <w:tc>
          <w:tcPr>
            <w:tcW w:w="124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F2DE29">
            <w:pPr>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rPr>
            </w:pPr>
          </w:p>
        </w:tc>
      </w:tr>
      <w:tr w14:paraId="5582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3B745">
            <w:pPr>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出院日期</w:t>
            </w:r>
          </w:p>
        </w:tc>
        <w:tc>
          <w:tcPr>
            <w:tcW w:w="125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FABAF8">
            <w:pPr>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rPr>
            </w:pPr>
          </w:p>
        </w:tc>
        <w:tc>
          <w:tcPr>
            <w:tcW w:w="125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E37AF5">
            <w:pPr>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出院诊断</w:t>
            </w:r>
          </w:p>
        </w:tc>
        <w:tc>
          <w:tcPr>
            <w:tcW w:w="124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F0F20E">
            <w:pPr>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rPr>
            </w:pPr>
          </w:p>
        </w:tc>
      </w:tr>
      <w:tr w14:paraId="18A6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tcPr>
          <w:p w14:paraId="166E1846">
            <w:pPr>
              <w:spacing w:line="240" w:lineRule="auto"/>
              <w:ind w:firstLine="0" w:firstLineChars="0"/>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随访项目</w:t>
            </w:r>
          </w:p>
        </w:tc>
      </w:tr>
      <w:tr w14:paraId="54219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D30F3">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症状</w:t>
            </w:r>
          </w:p>
        </w:tc>
        <w:tc>
          <w:tcPr>
            <w:tcW w:w="375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1DBA4FB">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无症状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胸痛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全身乏力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恶心呕吐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呼吸困难 </w:t>
            </w:r>
          </w:p>
          <w:p w14:paraId="42550EB2">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心衰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心律失常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烦躁不安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心悸胸闷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其他</w:t>
            </w:r>
          </w:p>
        </w:tc>
      </w:tr>
      <w:tr w14:paraId="19D6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1E73B">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出院用药</w:t>
            </w:r>
          </w:p>
        </w:tc>
        <w:tc>
          <w:tcPr>
            <w:tcW w:w="375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007CA8">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抗血小板药物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降脂药物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降压药物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降糖药物 </w:t>
            </w:r>
          </w:p>
          <w:p w14:paraId="37BAF1AE">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缓解症状药物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i/>
                <w:iCs/>
                <w:color w:val="000000" w:themeColor="text1"/>
                <w:kern w:val="0"/>
                <w:sz w:val="18"/>
                <w:szCs w:val="18"/>
                <w14:textFill>
                  <w14:solidFill>
                    <w14:schemeClr w14:val="tx1"/>
                  </w14:solidFill>
                </w14:textFill>
              </w:rPr>
              <w:t>β</w:t>
            </w:r>
            <w:r>
              <w:rPr>
                <w:rFonts w:ascii="Times New Roman" w:hAnsi="Times New Roman" w:cs="Times New Roman"/>
                <w:color w:val="000000" w:themeColor="text1"/>
                <w:kern w:val="0"/>
                <w:sz w:val="18"/>
                <w:szCs w:val="18"/>
                <w14:textFill>
                  <w14:solidFill>
                    <w14:schemeClr w14:val="tx1"/>
                  </w14:solidFill>
                </w14:textFill>
              </w:rPr>
              <w:t xml:space="preserve">受体阻滞剂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ACEIs/ARBs/ARNI类药物</w:t>
            </w:r>
          </w:p>
        </w:tc>
      </w:tr>
      <w:tr w14:paraId="0104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CC366">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体征</w:t>
            </w:r>
          </w:p>
        </w:tc>
        <w:tc>
          <w:tcPr>
            <w:tcW w:w="375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0510821">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血压：</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mmHg      心率：</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次/min</w:t>
            </w:r>
          </w:p>
          <w:p w14:paraId="1FB1BF4B">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1955800</wp:posOffset>
                      </wp:positionH>
                      <wp:positionV relativeFrom="paragraph">
                        <wp:posOffset>210820</wp:posOffset>
                      </wp:positionV>
                      <wp:extent cx="419100" cy="0"/>
                      <wp:effectExtent l="0" t="0" r="0" b="0"/>
                      <wp:wrapNone/>
                      <wp:docPr id="7" name="直接连接符 3"/>
                      <wp:cNvGraphicFramePr/>
                      <a:graphic xmlns:a="http://schemas.openxmlformats.org/drawingml/2006/main">
                        <a:graphicData uri="http://schemas.microsoft.com/office/word/2010/wordprocessingShape">
                          <wps:wsp>
                            <wps:cNvCnPr/>
                            <wps:spPr>
                              <a:xfrm>
                                <a:off x="0" y="0"/>
                                <a:ext cx="419100" cy="0"/>
                              </a:xfrm>
                              <a:prstGeom prst="line">
                                <a:avLst/>
                              </a:prstGeom>
                              <a:noFill/>
                              <a:ln w="12700" cap="flat" cmpd="sng" algn="ctr">
                                <a:noFill/>
                                <a:prstDash val="solid"/>
                                <a:miter lim="800000"/>
                              </a:ln>
                              <a:effectLst/>
                            </wps:spPr>
                            <wps:bodyPr/>
                          </wps:wsp>
                        </a:graphicData>
                      </a:graphic>
                    </wp:anchor>
                  </w:drawing>
                </mc:Choice>
                <mc:Fallback>
                  <w:pict>
                    <v:line id="直接连接符 3" o:spid="_x0000_s1026" o:spt="20" style="position:absolute;left:0pt;margin-left:154pt;margin-top:16.6pt;height:0pt;width:33pt;z-index:251662336;mso-width-relative:page;mso-height-relative:page;" filled="f" stroked="f" coordsize="21600,21600" o:gfxdata="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FYKSnYAAAACQEAAA8AAAAAAAAA&#10;AQAgAAAAIgAAAGRycy9kb3ducmV2LnhtbFBLAQIUABQAAAAIAIdO4kB1x8dW2AEAAJYDAAAOAAAA&#10;AAAAAAEAIAAAACcBAABkcnMvZTJvRG9jLnhtbFBLBQYAAAAABgAGAFkBAABxBQ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362585</wp:posOffset>
                      </wp:positionH>
                      <wp:positionV relativeFrom="paragraph">
                        <wp:posOffset>210820</wp:posOffset>
                      </wp:positionV>
                      <wp:extent cx="419100" cy="0"/>
                      <wp:effectExtent l="0" t="0" r="0" b="0"/>
                      <wp:wrapNone/>
                      <wp:docPr id="24" name="直接连接符 3"/>
                      <wp:cNvGraphicFramePr/>
                      <a:graphic xmlns:a="http://schemas.openxmlformats.org/drawingml/2006/main">
                        <a:graphicData uri="http://schemas.microsoft.com/office/word/2010/wordprocessingShape">
                          <wps:wsp>
                            <wps:cNvCnPr/>
                            <wps:spPr>
                              <a:xfrm>
                                <a:off x="0" y="0"/>
                                <a:ext cx="419100" cy="0"/>
                              </a:xfrm>
                              <a:prstGeom prst="line">
                                <a:avLst/>
                              </a:prstGeom>
                              <a:noFill/>
                              <a:ln w="12700" cap="flat" cmpd="sng" algn="ctr">
                                <a:noFill/>
                                <a:prstDash val="solid"/>
                                <a:miter lim="800000"/>
                              </a:ln>
                              <a:effectLst/>
                            </wps:spPr>
                            <wps:bodyPr/>
                          </wps:wsp>
                        </a:graphicData>
                      </a:graphic>
                    </wp:anchor>
                  </w:drawing>
                </mc:Choice>
                <mc:Fallback>
                  <w:pict>
                    <v:line id="直接连接符 3" o:spid="_x0000_s1026" o:spt="20" style="position:absolute;left:0pt;margin-left:28.55pt;margin-top:16.6pt;height:0pt;width:33pt;z-index:251661312;mso-width-relative:page;mso-height-relative:page;" filled="f" stroked="f" coordsize="21600,21600" o:gfxdata="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g3hIjXAAAACAEAAA8AAAAAAAAA&#10;AQAgAAAAIgAAAGRycy9kb3ducmV2LnhtbFBLAQIUABQAAAAIAIdO4kB4O5Gs2QEAAJcDAAAOAAAA&#10;AAAAAAEAIAAAACYBAABkcnMvZTJvRG9jLnhtbFBLBQYAAAAABgAGAFkBAABxBQ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w:t>体重：</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kg      体质指数：</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kg/m</w:t>
            </w:r>
            <w:r>
              <w:rPr>
                <w:rFonts w:ascii="Times New Roman" w:hAnsi="Times New Roman" w:cs="Times New Roman"/>
                <w:color w:val="000000" w:themeColor="text1"/>
                <w:kern w:val="0"/>
                <w:sz w:val="18"/>
                <w:szCs w:val="18"/>
                <w:vertAlign w:val="superscript"/>
                <w14:textFill>
                  <w14:solidFill>
                    <w14:schemeClr w14:val="tx1"/>
                  </w14:solidFill>
                </w14:textFill>
              </w:rPr>
              <w:t>2</w:t>
            </w:r>
          </w:p>
        </w:tc>
      </w:tr>
      <w:tr w14:paraId="320B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F8B9A">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生活方式</w:t>
            </w:r>
          </w:p>
        </w:tc>
        <w:tc>
          <w:tcPr>
            <w:tcW w:w="375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97B4DC3">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1741170</wp:posOffset>
                      </wp:positionH>
                      <wp:positionV relativeFrom="paragraph">
                        <wp:posOffset>204470</wp:posOffset>
                      </wp:positionV>
                      <wp:extent cx="281940" cy="0"/>
                      <wp:effectExtent l="0" t="0" r="0" b="0"/>
                      <wp:wrapNone/>
                      <wp:docPr id="29" name="直接连接符 17"/>
                      <wp:cNvGraphicFramePr/>
                      <a:graphic xmlns:a="http://schemas.openxmlformats.org/drawingml/2006/main">
                        <a:graphicData uri="http://schemas.microsoft.com/office/word/2010/wordprocessingShape">
                          <wps:wsp>
                            <wps:cNvCnPr/>
                            <wps:spPr>
                              <a:xfrm>
                                <a:off x="0" y="0"/>
                                <a:ext cx="281940" cy="0"/>
                              </a:xfrm>
                              <a:prstGeom prst="line">
                                <a:avLst/>
                              </a:prstGeom>
                              <a:noFill/>
                              <a:ln w="12700" cap="flat" cmpd="sng" algn="ctr">
                                <a:noFill/>
                                <a:prstDash val="solid"/>
                                <a:miter lim="800000"/>
                              </a:ln>
                              <a:effectLst/>
                            </wps:spPr>
                            <wps:bodyPr/>
                          </wps:wsp>
                        </a:graphicData>
                      </a:graphic>
                    </wp:anchor>
                  </w:drawing>
                </mc:Choice>
                <mc:Fallback>
                  <w:pict>
                    <v:line id="直接连接符 17" o:spid="_x0000_s1026" o:spt="20" style="position:absolute;left:0pt;margin-left:137.1pt;margin-top:16.1pt;height:0pt;width:22.2pt;z-index:251663360;mso-width-relative:page;mso-height-relative:page;" filled="f" stroked="f" coordsize="21600,21600" o:gfxdata="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6D3jNgAAAAJAQAADwAAAAAA&#10;AAABACAAAAAiAAAAZHJzL2Rvd25yZXYueG1sUEsBAhQAFAAAAAgAh07iQJFULbHaAQAAmAMAAA4A&#10;AAAAAAAAAQAgAAAAJwEAAGRycy9lMm9Eb2MueG1sUEsFBgAAAAAGAAYAWQEAAHMFA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w:t>是否吸烟：</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是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否，日吸烟量：</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支；</w:t>
            </w:r>
          </w:p>
          <w:p w14:paraId="3A632DBC">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1741170</wp:posOffset>
                      </wp:positionH>
                      <wp:positionV relativeFrom="paragraph">
                        <wp:posOffset>203200</wp:posOffset>
                      </wp:positionV>
                      <wp:extent cx="281940" cy="0"/>
                      <wp:effectExtent l="0" t="0" r="0" b="0"/>
                      <wp:wrapNone/>
                      <wp:docPr id="36" name="直接连接符 17"/>
                      <wp:cNvGraphicFramePr/>
                      <a:graphic xmlns:a="http://schemas.openxmlformats.org/drawingml/2006/main">
                        <a:graphicData uri="http://schemas.microsoft.com/office/word/2010/wordprocessingShape">
                          <wps:wsp>
                            <wps:cNvCnPr/>
                            <wps:spPr>
                              <a:xfrm>
                                <a:off x="0" y="0"/>
                                <a:ext cx="281940" cy="0"/>
                              </a:xfrm>
                              <a:prstGeom prst="line">
                                <a:avLst/>
                              </a:prstGeom>
                              <a:noFill/>
                              <a:ln w="12700" cap="flat" cmpd="sng" algn="ctr">
                                <a:noFill/>
                                <a:prstDash val="solid"/>
                                <a:miter lim="800000"/>
                              </a:ln>
                              <a:effectLst/>
                            </wps:spPr>
                            <wps:bodyPr/>
                          </wps:wsp>
                        </a:graphicData>
                      </a:graphic>
                    </wp:anchor>
                  </w:drawing>
                </mc:Choice>
                <mc:Fallback>
                  <w:pict>
                    <v:line id="直接连接符 17" o:spid="_x0000_s1026" o:spt="20" style="position:absolute;left:0pt;margin-left:137.1pt;margin-top:16pt;height:0pt;width:22.2pt;z-index:251664384;mso-width-relative:page;mso-height-relative:page;" filled="f" stroked="f" coordsize="21600,21600" o:gfxdata="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QnTCdgAAAAJAQAADwAAAAAA&#10;AAABACAAAAAiAAAAZHJzL2Rvd25yZXYueG1sUEsBAhQAFAAAAAgAh07iQP9x9PfaAQAAmAMAAA4A&#10;AAAAAAAAAQAgAAAAJwEAAGRycy9lMm9Eb2MueG1sUEsFBgAAAAAGAAYAWQEAAHMFA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w:t>是否饮酒：</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是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否，日饮酒量：</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两；</w:t>
            </w:r>
          </w:p>
          <w:p w14:paraId="09DE5912">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1102995</wp:posOffset>
                      </wp:positionH>
                      <wp:positionV relativeFrom="paragraph">
                        <wp:posOffset>213995</wp:posOffset>
                      </wp:positionV>
                      <wp:extent cx="281940" cy="0"/>
                      <wp:effectExtent l="0" t="0" r="0" b="0"/>
                      <wp:wrapNone/>
                      <wp:docPr id="45" name="直接连接符 17"/>
                      <wp:cNvGraphicFramePr/>
                      <a:graphic xmlns:a="http://schemas.openxmlformats.org/drawingml/2006/main">
                        <a:graphicData uri="http://schemas.microsoft.com/office/word/2010/wordprocessingShape">
                          <wps:wsp>
                            <wps:cNvCnPr/>
                            <wps:spPr>
                              <a:xfrm>
                                <a:off x="0" y="0"/>
                                <a:ext cx="282127" cy="0"/>
                              </a:xfrm>
                              <a:prstGeom prst="line">
                                <a:avLst/>
                              </a:prstGeom>
                              <a:noFill/>
                              <a:ln w="12700" cap="flat" cmpd="sng" algn="ctr">
                                <a:noFill/>
                                <a:prstDash val="solid"/>
                                <a:miter lim="800000"/>
                              </a:ln>
                              <a:effectLst/>
                            </wps:spPr>
                            <wps:bodyPr/>
                          </wps:wsp>
                        </a:graphicData>
                      </a:graphic>
                    </wp:anchor>
                  </w:drawing>
                </mc:Choice>
                <mc:Fallback>
                  <w:pict>
                    <v:line id="直接连接符 17" o:spid="_x0000_s1026" o:spt="20" style="position:absolute;left:0pt;margin-left:86.85pt;margin-top:16.85pt;height:0pt;width:22.2pt;z-index:251666432;mso-width-relative:page;mso-height-relative:page;" filled="f" stroked="f" coordsize="21600,21600" o:gfxdata="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zl88dcAAAAJAQAADwAAAAAA&#10;AAABACAAAAAiAAAAZHJzL2Rvd25yZXYueG1sUEsBAhQAFAAAAAgAh07iQLqxllHbAQAAmAMAAA4A&#10;AAAAAAAAAQAgAAAAJgEAAGRycy9lMm9Eb2MueG1sUEsFBgAAAAAGAAYAWQEAAHMFA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362585</wp:posOffset>
                      </wp:positionH>
                      <wp:positionV relativeFrom="paragraph">
                        <wp:posOffset>213995</wp:posOffset>
                      </wp:positionV>
                      <wp:extent cx="281940" cy="0"/>
                      <wp:effectExtent l="0" t="0" r="0" b="0"/>
                      <wp:wrapNone/>
                      <wp:docPr id="46" name="直接连接符 17"/>
                      <wp:cNvGraphicFramePr/>
                      <a:graphic xmlns:a="http://schemas.openxmlformats.org/drawingml/2006/main">
                        <a:graphicData uri="http://schemas.microsoft.com/office/word/2010/wordprocessingShape">
                          <wps:wsp>
                            <wps:cNvCnPr/>
                            <wps:spPr>
                              <a:xfrm>
                                <a:off x="0" y="0"/>
                                <a:ext cx="282127" cy="0"/>
                              </a:xfrm>
                              <a:prstGeom prst="line">
                                <a:avLst/>
                              </a:prstGeom>
                              <a:noFill/>
                              <a:ln w="12700" cap="flat" cmpd="sng" algn="ctr">
                                <a:noFill/>
                                <a:prstDash val="solid"/>
                                <a:miter lim="800000"/>
                              </a:ln>
                              <a:effectLst/>
                            </wps:spPr>
                            <wps:bodyPr/>
                          </wps:wsp>
                        </a:graphicData>
                      </a:graphic>
                    </wp:anchor>
                  </w:drawing>
                </mc:Choice>
                <mc:Fallback>
                  <w:pict>
                    <v:line id="直接连接符 17" o:spid="_x0000_s1026" o:spt="20" style="position:absolute;left:0pt;margin-left:28.55pt;margin-top:16.85pt;height:0pt;width:22.2pt;z-index:251665408;mso-width-relative:page;mso-height-relative:page;" filled="f" stroked="f" coordsize="21600,21600" o:gfxdata="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xULv9cAAAAIAQAADwAAAAAA&#10;AAABACAAAAAiAAAAZHJzL2Rvd25yZXYueG1sUEsBAhQAFAAAAAgAh07iQBUKp//bAQAAmAMAAA4A&#10;AAAAAAAAAQAgAAAAJgEAAGRycy9lMm9Eb2MueG1sUEsFBgAAAAAGAAYAWQEAAHMFA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w:t>运动：</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次/周；</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分钟/次，心理调整：</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良好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一般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差</w:t>
            </w:r>
          </w:p>
        </w:tc>
      </w:tr>
      <w:tr w14:paraId="2F74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2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F9537">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辅助检查</w:t>
            </w:r>
          </w:p>
        </w:tc>
        <w:tc>
          <w:tcPr>
            <w:tcW w:w="375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8C0EDC">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1248410</wp:posOffset>
                      </wp:positionH>
                      <wp:positionV relativeFrom="paragraph">
                        <wp:posOffset>205105</wp:posOffset>
                      </wp:positionV>
                      <wp:extent cx="400050" cy="0"/>
                      <wp:effectExtent l="0" t="0" r="0" b="0"/>
                      <wp:wrapNone/>
                      <wp:docPr id="47" name="直接连接符 5"/>
                      <wp:cNvGraphicFramePr/>
                      <a:graphic xmlns:a="http://schemas.openxmlformats.org/drawingml/2006/main">
                        <a:graphicData uri="http://schemas.microsoft.com/office/word/2010/wordprocessingShape">
                          <wps:wsp>
                            <wps:cNvCnPr/>
                            <wps:spPr>
                              <a:xfrm>
                                <a:off x="0" y="0"/>
                                <a:ext cx="400050" cy="0"/>
                              </a:xfrm>
                              <a:prstGeom prst="line">
                                <a:avLst/>
                              </a:prstGeom>
                              <a:noFill/>
                              <a:ln w="12700" cap="flat" cmpd="sng" algn="ctr">
                                <a:noFill/>
                                <a:prstDash val="solid"/>
                                <a:miter lim="800000"/>
                              </a:ln>
                              <a:effectLst/>
                            </wps:spPr>
                            <wps:bodyPr/>
                          </wps:wsp>
                        </a:graphicData>
                      </a:graphic>
                    </wp:anchor>
                  </w:drawing>
                </mc:Choice>
                <mc:Fallback>
                  <w:pict>
                    <v:line id="直接连接符 5" o:spid="_x0000_s1026" o:spt="20" style="position:absolute;left:0pt;margin-left:98.3pt;margin-top:16.15pt;height:0pt;width:31.5pt;z-index:251670528;mso-width-relative:page;mso-height-relative:page;" filled="f" stroked="f" coordsize="21600,21600" o:gfxdata="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a3CuNcAAAAJAQAADwAAAAAAAAAB&#10;ACAAAAAiAAAAZHJzL2Rvd25yZXYueG1sUEsBAhQAFAAAAAgAh07iQAo1rQHYAQAAlwMAAA4AAAAA&#10;AAAAAQAgAAAAJgEAAGRycy9lMm9Eb2MueG1sUEsFBgAAAAAGAAYAWQEAAHAFA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2414270</wp:posOffset>
                      </wp:positionH>
                      <wp:positionV relativeFrom="paragraph">
                        <wp:posOffset>205740</wp:posOffset>
                      </wp:positionV>
                      <wp:extent cx="419100" cy="0"/>
                      <wp:effectExtent l="0" t="0" r="0" b="0"/>
                      <wp:wrapNone/>
                      <wp:docPr id="48" name="直接连接符 3"/>
                      <wp:cNvGraphicFramePr/>
                      <a:graphic xmlns:a="http://schemas.openxmlformats.org/drawingml/2006/main">
                        <a:graphicData uri="http://schemas.microsoft.com/office/word/2010/wordprocessingShape">
                          <wps:wsp>
                            <wps:cNvCnPr/>
                            <wps:spPr>
                              <a:xfrm>
                                <a:off x="0" y="0"/>
                                <a:ext cx="419100" cy="0"/>
                              </a:xfrm>
                              <a:prstGeom prst="line">
                                <a:avLst/>
                              </a:prstGeom>
                              <a:noFill/>
                              <a:ln w="12700" cap="flat" cmpd="sng" algn="ctr">
                                <a:noFill/>
                                <a:prstDash val="solid"/>
                                <a:miter lim="800000"/>
                              </a:ln>
                              <a:effectLst/>
                            </wps:spPr>
                            <wps:bodyPr/>
                          </wps:wsp>
                        </a:graphicData>
                      </a:graphic>
                    </wp:anchor>
                  </w:drawing>
                </mc:Choice>
                <mc:Fallback>
                  <w:pict>
                    <v:line id="直接连接符 3" o:spid="_x0000_s1026" o:spt="20" style="position:absolute;left:0pt;margin-left:190.1pt;margin-top:16.2pt;height:0pt;width:33pt;z-index:251668480;mso-width-relative:page;mso-height-relative:page;" filled="f" stroked="f" coordsize="21600,21600" o:gfxdata="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J341bXAAAACQEAAA8AAAAAAAAA&#10;AQAgAAAAIgAAAGRycy9kb3ducmV2LnhtbFBLAQIUABQAAAAIAIdO4kBF0SYe2QEAAJcDAAAOAAAA&#10;AAAAAAEAIAAAACYBAABkcnMvZTJvRG9jLnhtbFBLBQYAAAAABgAGAFkBAABxBQ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217805</wp:posOffset>
                      </wp:positionH>
                      <wp:positionV relativeFrom="paragraph">
                        <wp:posOffset>205740</wp:posOffset>
                      </wp:positionV>
                      <wp:extent cx="419100" cy="0"/>
                      <wp:effectExtent l="0" t="0" r="0" b="0"/>
                      <wp:wrapNone/>
                      <wp:docPr id="49" name="直接连接符 3"/>
                      <wp:cNvGraphicFramePr/>
                      <a:graphic xmlns:a="http://schemas.openxmlformats.org/drawingml/2006/main">
                        <a:graphicData uri="http://schemas.microsoft.com/office/word/2010/wordprocessingShape">
                          <wps:wsp>
                            <wps:cNvCnPr/>
                            <wps:spPr>
                              <a:xfrm>
                                <a:off x="0" y="0"/>
                                <a:ext cx="419100" cy="0"/>
                              </a:xfrm>
                              <a:prstGeom prst="line">
                                <a:avLst/>
                              </a:prstGeom>
                              <a:noFill/>
                              <a:ln w="12700" cap="flat" cmpd="sng" algn="ctr">
                                <a:noFill/>
                                <a:prstDash val="solid"/>
                                <a:miter lim="800000"/>
                              </a:ln>
                              <a:effectLst/>
                            </wps:spPr>
                            <wps:bodyPr/>
                          </wps:wsp>
                        </a:graphicData>
                      </a:graphic>
                    </wp:anchor>
                  </w:drawing>
                </mc:Choice>
                <mc:Fallback>
                  <w:pict>
                    <v:line id="直接连接符 3" o:spid="_x0000_s1026" o:spt="20" style="position:absolute;left:0pt;margin-left:17.15pt;margin-top:16.2pt;height:0pt;width:33pt;z-index:251667456;mso-width-relative:page;mso-height-relative:page;" filled="f" stroked="f" coordsize="21600,21600" o:gfxdata="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2TWZkNYAAAAIAQAADwAAAAAAAAAB&#10;ACAAAAAiAAAAZHJzL2Rvd25yZXYueG1sUEsBAhQAFAAAAAgAh07iQB1ylkHZAQAAlwMAAA4AAAAA&#10;AAAAAQAgAAAAJQEAAGRycy9lMm9Eb2MueG1sUEsFBgAAAAAGAAYAWQEAAHAFA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w:t>AST：</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U/L，ALT：</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U/L；CREA：</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mmol/L；</w:t>
            </w:r>
          </w:p>
          <w:p w14:paraId="4C22EA62">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2679065</wp:posOffset>
                      </wp:positionH>
                      <wp:positionV relativeFrom="paragraph">
                        <wp:posOffset>203200</wp:posOffset>
                      </wp:positionV>
                      <wp:extent cx="409575" cy="0"/>
                      <wp:effectExtent l="0" t="0" r="0" b="0"/>
                      <wp:wrapNone/>
                      <wp:docPr id="50" name="直接连接符 7"/>
                      <wp:cNvGraphicFramePr/>
                      <a:graphic xmlns:a="http://schemas.openxmlformats.org/drawingml/2006/main">
                        <a:graphicData uri="http://schemas.microsoft.com/office/word/2010/wordprocessingShape">
                          <wps:wsp>
                            <wps:cNvCnPr/>
                            <wps:spPr>
                              <a:xfrm>
                                <a:off x="0" y="0"/>
                                <a:ext cx="409575" cy="0"/>
                              </a:xfrm>
                              <a:prstGeom prst="line">
                                <a:avLst/>
                              </a:prstGeom>
                              <a:noFill/>
                              <a:ln w="12700" cap="flat" cmpd="sng" algn="ctr">
                                <a:noFill/>
                                <a:prstDash val="solid"/>
                                <a:miter lim="800000"/>
                              </a:ln>
                              <a:effectLst/>
                            </wps:spPr>
                            <wps:bodyPr/>
                          </wps:wsp>
                        </a:graphicData>
                      </a:graphic>
                    </wp:anchor>
                  </w:drawing>
                </mc:Choice>
                <mc:Fallback>
                  <w:pict>
                    <v:line id="直接连接符 7" o:spid="_x0000_s1026" o:spt="20" style="position:absolute;left:0pt;margin-left:210.95pt;margin-top:16pt;height:0pt;width:32.25pt;z-index:251672576;mso-width-relative:page;mso-height-relative:page;" filled="f" stroked="f" coordsize="21600,21600" o:gfxdata="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qzN59gAAAAJAQAADwAAAAAA&#10;AAABACAAAAAiAAAAZHJzL2Rvd25yZXYueG1sUEsBAhQAFAAAAAgAh07iQAS5uijaAQAAlwMAAA4A&#10;AAAAAAAAAQAgAAAAJwEAAGRycy9lMm9Eb2MueG1sUEsFBgAAAAAGAAYAWQEAAHMFA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1537970</wp:posOffset>
                      </wp:positionH>
                      <wp:positionV relativeFrom="paragraph">
                        <wp:posOffset>203200</wp:posOffset>
                      </wp:positionV>
                      <wp:extent cx="409575" cy="0"/>
                      <wp:effectExtent l="0" t="0" r="0" b="0"/>
                      <wp:wrapNone/>
                      <wp:docPr id="51" name="直接连接符 6"/>
                      <wp:cNvGraphicFramePr/>
                      <a:graphic xmlns:a="http://schemas.openxmlformats.org/drawingml/2006/main">
                        <a:graphicData uri="http://schemas.microsoft.com/office/word/2010/wordprocessingShape">
                          <wps:wsp>
                            <wps:cNvCnPr/>
                            <wps:spPr>
                              <a:xfrm>
                                <a:off x="0" y="0"/>
                                <a:ext cx="409575" cy="0"/>
                              </a:xfrm>
                              <a:prstGeom prst="line">
                                <a:avLst/>
                              </a:prstGeom>
                              <a:noFill/>
                              <a:ln w="12700" cap="flat" cmpd="sng" algn="ctr">
                                <a:noFill/>
                                <a:prstDash val="solid"/>
                                <a:miter lim="800000"/>
                              </a:ln>
                              <a:effectLst/>
                            </wps:spPr>
                            <wps:bodyPr/>
                          </wps:wsp>
                        </a:graphicData>
                      </a:graphic>
                    </wp:anchor>
                  </w:drawing>
                </mc:Choice>
                <mc:Fallback>
                  <w:pict>
                    <v:line id="直接连接符 6" o:spid="_x0000_s1026" o:spt="20" style="position:absolute;left:0pt;margin-left:121.1pt;margin-top:16pt;height:0pt;width:32.25pt;z-index:251671552;mso-width-relative:page;mso-height-relative:page;" filled="f" stroked="f" coordsize="21600,21600" o:gfxdata="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F8h/PXAAAACQEAAA8AAAAA&#10;AAAAAQAgAAAAIgAAAGRycy9kb3ducmV2LnhtbFBLAQIUABQAAAAIAIdO4kCGD60O3AEAAJcDAAAO&#10;AAAAAAAAAAEAIAAAACYBAABkcnMvZTJvRG9jLnhtbFBLBQYAAAAABgAGAFkBAAB0BQ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266700</wp:posOffset>
                      </wp:positionH>
                      <wp:positionV relativeFrom="paragraph">
                        <wp:posOffset>203200</wp:posOffset>
                      </wp:positionV>
                      <wp:extent cx="419100" cy="0"/>
                      <wp:effectExtent l="0" t="0" r="0" b="0"/>
                      <wp:wrapNone/>
                      <wp:docPr id="52" name="直接连接符 4"/>
                      <wp:cNvGraphicFramePr/>
                      <a:graphic xmlns:a="http://schemas.openxmlformats.org/drawingml/2006/main">
                        <a:graphicData uri="http://schemas.microsoft.com/office/word/2010/wordprocessingShape">
                          <wps:wsp>
                            <wps:cNvCnPr/>
                            <wps:spPr>
                              <a:xfrm>
                                <a:off x="0" y="0"/>
                                <a:ext cx="419100" cy="0"/>
                              </a:xfrm>
                              <a:prstGeom prst="line">
                                <a:avLst/>
                              </a:prstGeom>
                              <a:noFill/>
                              <a:ln w="12700" cap="flat" cmpd="sng" algn="ctr">
                                <a:noFill/>
                                <a:prstDash val="solid"/>
                                <a:miter lim="800000"/>
                              </a:ln>
                              <a:effectLst/>
                            </wps:spPr>
                            <wps:bodyPr/>
                          </wps:wsp>
                        </a:graphicData>
                      </a:graphic>
                    </wp:anchor>
                  </w:drawing>
                </mc:Choice>
                <mc:Fallback>
                  <w:pict>
                    <v:line id="直接连接符 4" o:spid="_x0000_s1026" o:spt="20" style="position:absolute;left:0pt;margin-left:21pt;margin-top:16pt;height:0pt;width:33pt;z-index:251669504;mso-width-relative:page;mso-height-relative:page;" filled="f" stroked="f" coordsize="21600,21600" o:gfxdata="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9R5WtYAAAAIAQAADwAAAAAAAAAB&#10;ACAAAAAiAAAAZHJzL2Rvd25yZXYueG1sUEsBAhQAFAAAAAgAh07iQNSBuuPZAQAAlwMAAA4AAAAA&#10;AAAAAQAgAAAAJQEAAGRycy9lMm9Eb2MueG1sUEsFBgAAAAAGAAYAWQEAAHAFA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w:t>DBIL：</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μmol/L，TBIL：</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μmol/L；TG：</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mmol/L，</w:t>
            </w:r>
          </w:p>
          <w:p w14:paraId="728690FC">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313055</wp:posOffset>
                      </wp:positionH>
                      <wp:positionV relativeFrom="paragraph">
                        <wp:posOffset>520065</wp:posOffset>
                      </wp:positionV>
                      <wp:extent cx="419100" cy="0"/>
                      <wp:effectExtent l="0" t="0" r="0" b="0"/>
                      <wp:wrapNone/>
                      <wp:docPr id="53" name="直接连接符 4"/>
                      <wp:cNvGraphicFramePr/>
                      <a:graphic xmlns:a="http://schemas.openxmlformats.org/drawingml/2006/main">
                        <a:graphicData uri="http://schemas.microsoft.com/office/word/2010/wordprocessingShape">
                          <wps:wsp>
                            <wps:cNvCnPr/>
                            <wps:spPr>
                              <a:xfrm>
                                <a:off x="0" y="0"/>
                                <a:ext cx="419100" cy="0"/>
                              </a:xfrm>
                              <a:prstGeom prst="line">
                                <a:avLst/>
                              </a:prstGeom>
                              <a:noFill/>
                              <a:ln w="12700" cap="flat" cmpd="sng" algn="ctr">
                                <a:noFill/>
                                <a:prstDash val="solid"/>
                                <a:miter lim="800000"/>
                              </a:ln>
                              <a:effectLst/>
                            </wps:spPr>
                            <wps:bodyPr/>
                          </wps:wsp>
                        </a:graphicData>
                      </a:graphic>
                    </wp:anchor>
                  </w:drawing>
                </mc:Choice>
                <mc:Fallback>
                  <w:pict>
                    <v:line id="直接连接符 4" o:spid="_x0000_s1026" o:spt="20" style="position:absolute;left:0pt;margin-left:24.65pt;margin-top:40.95pt;height:0pt;width:33pt;z-index:251677696;mso-width-relative:page;mso-height-relative:page;" filled="f" stroked="f" coordsize="21600,21600" o:gfxdata="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ldTLfXAAAACAEAAA8AAAAAAAAA&#10;AQAgAAAAIgAAAGRycy9kb3ducmV2LnhtbFBLAQIUABQAAAAIAIdO4kCMIgq82QEAAJcDAAAOAAAA&#10;AAAAAAEAIAAAACYBAABkcnMvZTJvRG9jLnhtbFBLBQYAAAAABgAGAFkBAABxBQ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1198880</wp:posOffset>
                      </wp:positionH>
                      <wp:positionV relativeFrom="paragraph">
                        <wp:posOffset>512445</wp:posOffset>
                      </wp:positionV>
                      <wp:extent cx="419100" cy="0"/>
                      <wp:effectExtent l="0" t="0" r="0" b="0"/>
                      <wp:wrapNone/>
                      <wp:docPr id="54" name="直接连接符 4"/>
                      <wp:cNvGraphicFramePr/>
                      <a:graphic xmlns:a="http://schemas.openxmlformats.org/drawingml/2006/main">
                        <a:graphicData uri="http://schemas.microsoft.com/office/word/2010/wordprocessingShape">
                          <wps:wsp>
                            <wps:cNvCnPr/>
                            <wps:spPr>
                              <a:xfrm>
                                <a:off x="0" y="0"/>
                                <a:ext cx="419100" cy="0"/>
                              </a:xfrm>
                              <a:prstGeom prst="line">
                                <a:avLst/>
                              </a:prstGeom>
                              <a:noFill/>
                              <a:ln w="12700" cap="flat" cmpd="sng" algn="ctr">
                                <a:noFill/>
                                <a:prstDash val="solid"/>
                                <a:miter lim="800000"/>
                              </a:ln>
                              <a:effectLst/>
                            </wps:spPr>
                            <wps:bodyPr/>
                          </wps:wsp>
                        </a:graphicData>
                      </a:graphic>
                    </wp:anchor>
                  </w:drawing>
                </mc:Choice>
                <mc:Fallback>
                  <w:pict>
                    <v:line id="直接连接符 4" o:spid="_x0000_s1026" o:spt="20" style="position:absolute;left:0pt;margin-left:94.4pt;margin-top:40.35pt;height:0pt;width:33pt;z-index:251676672;mso-width-relative:page;mso-height-relative:page;" filled="f" stroked="f" coordsize="21600,21600" o:gfxdata="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zer8PXAAAACQEAAA8AAAAAAAAA&#10;AQAgAAAAIgAAAGRycy9kb3ducmV2LnhtbFBLAQIUABQAAAAIAIdO4kBFTGj52QEAAJcDAAAOAAAA&#10;AAAAAAEAIAAAACYBAABkcnMvZTJvRG9jLnhtbFBLBQYAAAAABgAGAFkBAABxBQ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2838450</wp:posOffset>
                      </wp:positionH>
                      <wp:positionV relativeFrom="paragraph">
                        <wp:posOffset>191770</wp:posOffset>
                      </wp:positionV>
                      <wp:extent cx="400050" cy="0"/>
                      <wp:effectExtent l="0" t="0" r="0" b="0"/>
                      <wp:wrapNone/>
                      <wp:docPr id="55" name="直接连接符 10"/>
                      <wp:cNvGraphicFramePr/>
                      <a:graphic xmlns:a="http://schemas.openxmlformats.org/drawingml/2006/main">
                        <a:graphicData uri="http://schemas.microsoft.com/office/word/2010/wordprocessingShape">
                          <wps:wsp>
                            <wps:cNvCnPr/>
                            <wps:spPr>
                              <a:xfrm>
                                <a:off x="0" y="0"/>
                                <a:ext cx="400050" cy="0"/>
                              </a:xfrm>
                              <a:prstGeom prst="line">
                                <a:avLst/>
                              </a:prstGeom>
                              <a:noFill/>
                              <a:ln w="12700" cap="flat" cmpd="sng" algn="ctr">
                                <a:noFill/>
                                <a:prstDash val="solid"/>
                                <a:miter lim="800000"/>
                              </a:ln>
                              <a:effectLst/>
                            </wps:spPr>
                            <wps:bodyPr/>
                          </wps:wsp>
                        </a:graphicData>
                      </a:graphic>
                    </wp:anchor>
                  </w:drawing>
                </mc:Choice>
                <mc:Fallback>
                  <w:pict>
                    <v:line id="直接连接符 10" o:spid="_x0000_s1026" o:spt="20" style="position:absolute;left:0pt;margin-left:223.5pt;margin-top:15.1pt;height:0pt;width:31.5pt;z-index:251675648;mso-width-relative:page;mso-height-relative:page;" filled="f" stroked="f" coordsize="21600,21600" o:gfxdata="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J6649cAAAAJAQAADwAAAAAAAAAB&#10;ACAAAAAiAAAAZHJzL2Rvd25yZXYueG1sUEsBAhQAFAAAAAgAh07iQA+EsRXYAQAAmAMAAA4AAAAA&#10;AAAAAQAgAAAAJgEAAGRycy9lMm9Eb2MueG1sUEsFBgAAAAAGAAYAWQEAAHAFA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1476375</wp:posOffset>
                      </wp:positionH>
                      <wp:positionV relativeFrom="paragraph">
                        <wp:posOffset>191770</wp:posOffset>
                      </wp:positionV>
                      <wp:extent cx="409575" cy="0"/>
                      <wp:effectExtent l="0" t="0" r="0" b="0"/>
                      <wp:wrapNone/>
                      <wp:docPr id="56" name="直接连接符 9"/>
                      <wp:cNvGraphicFramePr/>
                      <a:graphic xmlns:a="http://schemas.openxmlformats.org/drawingml/2006/main">
                        <a:graphicData uri="http://schemas.microsoft.com/office/word/2010/wordprocessingShape">
                          <wps:wsp>
                            <wps:cNvCnPr/>
                            <wps:spPr>
                              <a:xfrm>
                                <a:off x="0" y="0"/>
                                <a:ext cx="409575" cy="0"/>
                              </a:xfrm>
                              <a:prstGeom prst="line">
                                <a:avLst/>
                              </a:prstGeom>
                              <a:noFill/>
                              <a:ln w="12700" cap="flat" cmpd="sng" algn="ctr">
                                <a:noFill/>
                                <a:prstDash val="solid"/>
                                <a:miter lim="800000"/>
                              </a:ln>
                              <a:effectLst/>
                            </wps:spPr>
                            <wps:bodyPr/>
                          </wps:wsp>
                        </a:graphicData>
                      </a:graphic>
                    </wp:anchor>
                  </w:drawing>
                </mc:Choice>
                <mc:Fallback>
                  <w:pict>
                    <v:line id="直接连接符 9" o:spid="_x0000_s1026" o:spt="20" style="position:absolute;left:0pt;margin-left:116.25pt;margin-top:15.1pt;height:0pt;width:32.25pt;z-index:251674624;mso-width-relative:page;mso-height-relative:page;" filled="f" stroked="f" coordsize="21600,21600" o:gfxdata="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ui8jbYAAAACQEAAA8AAAAA&#10;AAAAAQAgAAAAIgAAAGRycy9kb3ducmV2LnhtbFBLAQIUABQAAAAIAIdO4kBarBGH2wEAAJcDAAAO&#10;AAAAAAAAAAEAIAAAACcBAABkcnMvZTJvRG9jLnhtbFBLBQYAAAAABgAGAFkBAAB0BQ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171450</wp:posOffset>
                      </wp:positionH>
                      <wp:positionV relativeFrom="paragraph">
                        <wp:posOffset>191770</wp:posOffset>
                      </wp:positionV>
                      <wp:extent cx="381000" cy="0"/>
                      <wp:effectExtent l="0" t="0" r="0" b="0"/>
                      <wp:wrapNone/>
                      <wp:docPr id="57" name="直接连接符 8"/>
                      <wp:cNvGraphicFramePr/>
                      <a:graphic xmlns:a="http://schemas.openxmlformats.org/drawingml/2006/main">
                        <a:graphicData uri="http://schemas.microsoft.com/office/word/2010/wordprocessingShape">
                          <wps:wsp>
                            <wps:cNvCnPr/>
                            <wps:spPr>
                              <a:xfrm>
                                <a:off x="0" y="0"/>
                                <a:ext cx="381000" cy="0"/>
                              </a:xfrm>
                              <a:prstGeom prst="line">
                                <a:avLst/>
                              </a:prstGeom>
                              <a:noFill/>
                              <a:ln w="12700" cap="flat" cmpd="sng" algn="ctr">
                                <a:noFill/>
                                <a:prstDash val="solid"/>
                                <a:miter lim="800000"/>
                              </a:ln>
                              <a:effectLst/>
                            </wps:spPr>
                            <wps:bodyPr/>
                          </wps:wsp>
                        </a:graphicData>
                      </a:graphic>
                    </wp:anchor>
                  </w:drawing>
                </mc:Choice>
                <mc:Fallback>
                  <w:pict>
                    <v:line id="直接连接符 8" o:spid="_x0000_s1026" o:spt="20" style="position:absolute;left:0pt;margin-left:13.5pt;margin-top:15.1pt;height:0pt;width:30pt;z-index:251673600;mso-width-relative:page;mso-height-relative:page;" filled="f" stroked="f" coordsize="21600,21600" o:gfxdata="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Qz2e9QAAAAHAQAADwAAAAAAAAABACAA&#10;AAAiAAAAZHJzL2Rvd25yZXYueG1sUEsBAhQAFAAAAAgAh07iQOA9BHrYAQAAlwMAAA4AAAAAAAAA&#10;AQAgAAAAIwEAAGRycy9lMm9Eb2MueG1sUEsFBgAAAAAGAAYAWQEAAG0FAAAA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w:t>TC：</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mmol/L；LDL-C：</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mmol/L，HDL-C：</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mmol/L；HbA</w:t>
            </w:r>
            <w:r>
              <w:rPr>
                <w:rFonts w:ascii="Times New Roman" w:hAnsi="Times New Roman" w:cs="Times New Roman"/>
                <w:color w:val="000000" w:themeColor="text1"/>
                <w:kern w:val="0"/>
                <w:sz w:val="18"/>
                <w:szCs w:val="18"/>
                <w:vertAlign w:val="subscript"/>
                <w14:textFill>
                  <w14:solidFill>
                    <w14:schemeClr w14:val="tx1"/>
                  </w14:solidFill>
                </w14:textFill>
              </w:rPr>
              <w:t>IC</w:t>
            </w:r>
            <w:r>
              <w:rPr>
                <w:rFonts w:ascii="Times New Roman" w:hAnsi="Times New Roman" w:cs="Times New Roman"/>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%；其他：</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w:t>
            </w:r>
          </w:p>
        </w:tc>
      </w:tr>
      <w:tr w14:paraId="3DF7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41182">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有无停用/更换药物</w:t>
            </w:r>
          </w:p>
        </w:tc>
        <w:tc>
          <w:tcPr>
            <w:tcW w:w="375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F06BCF">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无 </w:t>
            </w:r>
          </w:p>
          <w:p w14:paraId="6B64DE41">
            <w:pPr>
              <w:spacing w:line="240" w:lineRule="auto"/>
              <w:ind w:firstLine="0" w:firstLineChars="0"/>
              <w:jc w:val="left"/>
              <w:rPr>
                <w:rFonts w:ascii="Times New Roman" w:hAnsi="Times New Roman" w:cs="Times New Roman"/>
                <w:color w:val="000000" w:themeColor="text1"/>
                <w:kern w:val="0"/>
                <w:sz w:val="18"/>
                <w:szCs w:val="18"/>
                <w:u w:val="single"/>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2778760</wp:posOffset>
                      </wp:positionH>
                      <wp:positionV relativeFrom="paragraph">
                        <wp:posOffset>215265</wp:posOffset>
                      </wp:positionV>
                      <wp:extent cx="242570" cy="1905"/>
                      <wp:effectExtent l="0" t="0" r="0" b="0"/>
                      <wp:wrapNone/>
                      <wp:docPr id="58" name="直接连接符 18"/>
                      <wp:cNvGraphicFramePr/>
                      <a:graphic xmlns:a="http://schemas.openxmlformats.org/drawingml/2006/main">
                        <a:graphicData uri="http://schemas.microsoft.com/office/word/2010/wordprocessingShape">
                          <wps:wsp>
                            <wps:cNvCnPr/>
                            <wps:spPr>
                              <a:xfrm>
                                <a:off x="0" y="0"/>
                                <a:ext cx="242683" cy="1960"/>
                              </a:xfrm>
                              <a:prstGeom prst="line">
                                <a:avLst/>
                              </a:prstGeom>
                              <a:noFill/>
                              <a:ln w="12700" cap="flat" cmpd="sng" algn="ctr">
                                <a:noFill/>
                                <a:prstDash val="solid"/>
                                <a:miter lim="800000"/>
                              </a:ln>
                              <a:effectLst/>
                            </wps:spPr>
                            <wps:bodyPr/>
                          </wps:wsp>
                        </a:graphicData>
                      </a:graphic>
                    </wp:anchor>
                  </w:drawing>
                </mc:Choice>
                <mc:Fallback>
                  <w:pict>
                    <v:line id="直接连接符 18" o:spid="_x0000_s1026" o:spt="20" style="position:absolute;left:0pt;margin-left:218.8pt;margin-top:16.95pt;height:0.15pt;width:19.1pt;z-index:251679744;mso-width-relative:page;mso-height-relative:page;" filled="f" stroked="f" coordsize="21600,21600" o:gfxdata="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zlq09kAAAAJAQAA&#10;DwAAAAAAAAABACAAAAAiAAAAZHJzL2Rvd25yZXYueG1sUEsBAhQAFAAAAAgAh07iQHe0G1jfAQAA&#10;mwMAAA4AAAAAAAAAAQAgAAAAKAEAAGRycy9lMm9Eb2MueG1sUEsFBgAAAAAGAAYAWQEAAHkFAAAA&#10;AA==&#10;">
                      <v:fill on="f" focussize="0,0"/>
                      <v:stroke on="f" weight="1pt" miterlimit="8" joinstyle="miter"/>
                      <v:imagedata o:title=""/>
                      <o:lock v:ext="edit" aspectratio="f"/>
                    </v:line>
                  </w:pict>
                </mc:Fallback>
              </mc:AlternateContent>
            </w: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1047750</wp:posOffset>
                      </wp:positionH>
                      <wp:positionV relativeFrom="paragraph">
                        <wp:posOffset>217805</wp:posOffset>
                      </wp:positionV>
                      <wp:extent cx="428625" cy="0"/>
                      <wp:effectExtent l="0" t="0" r="0" b="0"/>
                      <wp:wrapNone/>
                      <wp:docPr id="59" name="直接连接符 14"/>
                      <wp:cNvGraphicFramePr/>
                      <a:graphic xmlns:a="http://schemas.openxmlformats.org/drawingml/2006/main">
                        <a:graphicData uri="http://schemas.microsoft.com/office/word/2010/wordprocessingShape">
                          <wps:wsp>
                            <wps:cNvCnPr/>
                            <wps:spPr>
                              <a:xfrm>
                                <a:off x="0" y="0"/>
                                <a:ext cx="428625" cy="0"/>
                              </a:xfrm>
                              <a:prstGeom prst="line">
                                <a:avLst/>
                              </a:prstGeom>
                              <a:noFill/>
                              <a:ln w="12700" cap="flat" cmpd="sng" algn="ctr">
                                <a:noFill/>
                                <a:prstDash val="solid"/>
                                <a:miter lim="800000"/>
                              </a:ln>
                              <a:effectLst/>
                            </wps:spPr>
                            <wps:bodyPr/>
                          </wps:wsp>
                        </a:graphicData>
                      </a:graphic>
                    </wp:anchor>
                  </w:drawing>
                </mc:Choice>
                <mc:Fallback>
                  <w:pict>
                    <v:line id="直接连接符 14" o:spid="_x0000_s1026" o:spt="20" style="position:absolute;left:0pt;margin-left:82.5pt;margin-top:17.15pt;height:0pt;width:33.75pt;z-index:251678720;mso-width-relative:page;mso-height-relative:page;" filled="f" stroked="f" coordsize="21600,21600" o:gfxdata="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qc/itgAAAAJAQAADwAA&#10;AAAAAAABACAAAAAiAAAAZHJzL2Rvd25yZXYueG1sUEsBAhQAFAAAAAgAh07iQFzfYAbdAQAAmAMA&#10;AA4AAAAAAAAAAQAgAAAAJwEAAGRycy9lMm9Eb2MueG1sUEsFBgAAAAAGAAYAWQEAAHYFAAAAAA==&#10;">
                      <v:fill on="f" focussize="0,0"/>
                      <v:stroke on="f" weight="1pt" miterlimit="8" joinstyle="miter"/>
                      <v:imagedata o:title=""/>
                      <o:lock v:ext="edit" aspectratio="f"/>
                    </v:line>
                  </w:pict>
                </mc:Fallback>
              </mc:AlternateConten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有，停用时间：</w:t>
            </w:r>
            <w:r>
              <w:rPr>
                <w:rFonts w:ascii="Times New Roman" w:hAnsi="Times New Roman" w:cs="Times New Roman"/>
                <w:color w:val="000000" w:themeColor="text1"/>
                <w:kern w:val="0"/>
                <w:sz w:val="18"/>
                <w:szCs w:val="18"/>
                <w:u w:val="single"/>
                <w14:textFill>
                  <w14:solidFill>
                    <w14:schemeClr w14:val="tx1"/>
                  </w14:solidFill>
                </w14:textFill>
              </w:rPr>
              <w:t xml:space="preserve">            </w:t>
            </w:r>
            <w:r>
              <w:rPr>
                <w:rFonts w:ascii="Times New Roman" w:hAnsi="Times New Roman" w:cs="Times New Roman"/>
                <w:color w:val="000000" w:themeColor="text1"/>
                <w:kern w:val="0"/>
                <w:sz w:val="18"/>
                <w:szCs w:val="18"/>
                <w14:textFill>
                  <w14:solidFill>
                    <w14:schemeClr w14:val="tx1"/>
                  </w14:solidFill>
                </w14:textFill>
              </w:rPr>
              <w:t>药品名称及用法用量</w:t>
            </w:r>
            <w:r>
              <w:rPr>
                <w:rFonts w:ascii="Times New Roman" w:hAnsi="Times New Roman" w:cs="Times New Roman"/>
                <w:color w:val="000000" w:themeColor="text1"/>
                <w:kern w:val="0"/>
                <w:sz w:val="18"/>
                <w:szCs w:val="18"/>
                <w:u w:val="single"/>
                <w14:textFill>
                  <w14:solidFill>
                    <w14:schemeClr w14:val="tx1"/>
                  </w14:solidFill>
                </w14:textFill>
              </w:rPr>
              <w:t xml:space="preserve">                   </w:t>
            </w:r>
          </w:p>
          <w:p w14:paraId="17AF5FB3">
            <w:pPr>
              <w:spacing w:line="240" w:lineRule="auto"/>
              <w:ind w:firstLine="0" w:firstLineChars="0"/>
              <w:jc w:val="left"/>
              <w:rPr>
                <w:rFonts w:ascii="Times New Roman" w:hAnsi="Times New Roman" w:cs="Times New Roman"/>
                <w:color w:val="000000" w:themeColor="text1"/>
                <w:kern w:val="0"/>
                <w:sz w:val="18"/>
                <w:szCs w:val="18"/>
                <w:u w:val="single"/>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描述：</w:t>
            </w:r>
            <w:r>
              <w:rPr>
                <w:rFonts w:ascii="Times New Roman" w:hAnsi="Times New Roman" w:cs="Times New Roman"/>
                <w:color w:val="000000" w:themeColor="text1"/>
                <w:kern w:val="0"/>
                <w:sz w:val="18"/>
                <w:szCs w:val="18"/>
                <w:u w:val="single"/>
                <w14:textFill>
                  <w14:solidFill>
                    <w14:schemeClr w14:val="tx1"/>
                  </w14:solidFill>
                </w14:textFill>
              </w:rPr>
              <w:t xml:space="preserve">                                                           </w:t>
            </w:r>
          </w:p>
        </w:tc>
      </w:tr>
      <w:tr w14:paraId="15BF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978FC">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药物依从性评估</w:t>
            </w:r>
          </w:p>
        </w:tc>
        <w:tc>
          <w:tcPr>
            <w:tcW w:w="375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E733B88">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规律用药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间断用药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未服药</w:t>
            </w:r>
          </w:p>
        </w:tc>
      </w:tr>
      <w:tr w14:paraId="2C42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E79A3">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临床症状控制</w:t>
            </w:r>
          </w:p>
        </w:tc>
        <w:tc>
          <w:tcPr>
            <w:tcW w:w="375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2D4F28">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控制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部分控制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未控制</w:t>
            </w:r>
          </w:p>
        </w:tc>
      </w:tr>
      <w:tr w14:paraId="4445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2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A43CE">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药物不良反应</w:t>
            </w:r>
          </w:p>
        </w:tc>
        <w:tc>
          <w:tcPr>
            <w:tcW w:w="375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17EF3B">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无 </w:t>
            </w:r>
          </w:p>
          <w:p w14:paraId="43418985">
            <w:pPr>
              <w:spacing w:line="240" w:lineRule="auto"/>
              <w:ind w:firstLine="0" w:firstLineChars="0"/>
              <w:jc w:val="left"/>
              <w:rPr>
                <w:rFonts w:ascii="Times New Roman" w:hAnsi="Times New Roman" w:cs="Times New Roman"/>
                <w:color w:val="000000" w:themeColor="text1"/>
                <w:kern w:val="0"/>
                <w:sz w:val="18"/>
                <w:szCs w:val="18"/>
                <w:u w:val="single"/>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1617980</wp:posOffset>
                      </wp:positionH>
                      <wp:positionV relativeFrom="paragraph">
                        <wp:posOffset>220980</wp:posOffset>
                      </wp:positionV>
                      <wp:extent cx="1162050" cy="0"/>
                      <wp:effectExtent l="0" t="0" r="0" b="0"/>
                      <wp:wrapNone/>
                      <wp:docPr id="60" name="直接连接符 13"/>
                      <wp:cNvGraphicFramePr/>
                      <a:graphic xmlns:a="http://schemas.openxmlformats.org/drawingml/2006/main">
                        <a:graphicData uri="http://schemas.microsoft.com/office/word/2010/wordprocessingShape">
                          <wps:wsp>
                            <wps:cNvCnPr/>
                            <wps:spPr>
                              <a:xfrm>
                                <a:off x="0" y="0"/>
                                <a:ext cx="1162050" cy="0"/>
                              </a:xfrm>
                              <a:prstGeom prst="line">
                                <a:avLst/>
                              </a:prstGeom>
                              <a:noFill/>
                              <a:ln w="12700" cap="flat" cmpd="sng" algn="ctr">
                                <a:noFill/>
                                <a:prstDash val="solid"/>
                                <a:miter lim="800000"/>
                              </a:ln>
                              <a:effectLst/>
                            </wps:spPr>
                            <wps:bodyPr/>
                          </wps:wsp>
                        </a:graphicData>
                      </a:graphic>
                    </wp:anchor>
                  </w:drawing>
                </mc:Choice>
                <mc:Fallback>
                  <w:pict>
                    <v:line id="直接连接符 13" o:spid="_x0000_s1026" o:spt="20" style="position:absolute;left:0pt;margin-left:127.4pt;margin-top:17.4pt;height:0pt;width:91.5pt;z-index:251680768;mso-width-relative:page;mso-height-relative:page;" filled="f" stroked="f" coordsize="21600,21600" o:gfxdata="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GT5Bl1wAAAAkBAAAPAAAAAAAA&#10;AAEAIAAAACIAAABkcnMvZG93bnJldi54bWxQSwECFAAUAAAACACHTuJAJmMwKdoBAACZAwAADgAA&#10;AAAAAAABACAAAAAmAQAAZHJzL2Uyb0RvYy54bWxQSwUGAAAAAAYABgBZAQAAcgUAAAAA&#10;">
                      <v:fill on="f" focussize="0,0"/>
                      <v:stroke on="f" weight="1pt" miterlimit="8" joinstyle="miter"/>
                      <v:imagedata o:title=""/>
                      <o:lock v:ext="edit" aspectratio="f"/>
                    </v:line>
                  </w:pict>
                </mc:Fallback>
              </mc:AlternateConten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有，药品名称及临床表现：</w:t>
            </w:r>
            <w:r>
              <w:rPr>
                <w:rFonts w:ascii="Times New Roman" w:hAnsi="Times New Roman" w:cs="Times New Roman"/>
                <w:color w:val="000000" w:themeColor="text1"/>
                <w:kern w:val="0"/>
                <w:sz w:val="18"/>
                <w:szCs w:val="18"/>
                <w:u w:val="single"/>
                <w14:textFill>
                  <w14:solidFill>
                    <w14:schemeClr w14:val="tx1"/>
                  </w14:solidFill>
                </w14:textFill>
              </w:rPr>
              <w:t xml:space="preserve">                                      </w:t>
            </w:r>
          </w:p>
        </w:tc>
      </w:tr>
      <w:tr w14:paraId="20BC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2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80A2F">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药学指导和患者教育</w:t>
            </w:r>
          </w:p>
        </w:tc>
        <w:tc>
          <w:tcPr>
            <w:tcW w:w="3755"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A5B6F2A">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日常自我检测：</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告知患者降压目标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血压检测方法指导</w:t>
            </w:r>
          </w:p>
          <w:p w14:paraId="70C459AC">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冠心病治疗药物指导：</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告知基本原理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用法用量指导</w:t>
            </w:r>
          </w:p>
          <w:p w14:paraId="37B11D43">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生活方式指导：</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低盐低脂饮食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控制体质量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有氧运动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戒烟和限制饮酒</w:t>
            </w:r>
          </w:p>
        </w:tc>
      </w:tr>
      <w:tr w14:paraId="4698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4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6AE9C3">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随访小结</w:t>
            </w: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6DA4C">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随访日期</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416436">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p>
        </w:tc>
        <w:tc>
          <w:tcPr>
            <w:tcW w:w="93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AE33D8">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随访药师</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7E992">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p>
        </w:tc>
      </w:tr>
      <w:tr w14:paraId="338B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C3F1B">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p>
        </w:tc>
        <w:tc>
          <w:tcPr>
            <w:tcW w:w="9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DCC65">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随访方式</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A71383">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 xml:space="preserve">门诊 </w:t>
            </w: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家庭</w:t>
            </w:r>
          </w:p>
          <w:p w14:paraId="6FA453BE">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kern w:val="0"/>
                <w:sz w:val="18"/>
                <w:szCs w:val="18"/>
                <w14:textFill>
                  <w14:solidFill>
                    <w14:schemeClr w14:val="tx1"/>
                  </w14:solidFill>
                </w14:textFill>
              </w:rPr>
              <w:t>☐</w:t>
            </w:r>
            <w:r>
              <w:rPr>
                <w:rFonts w:ascii="Times New Roman" w:hAnsi="Times New Roman" w:cs="Times New Roman"/>
                <w:color w:val="000000" w:themeColor="text1"/>
                <w:kern w:val="0"/>
                <w:sz w:val="18"/>
                <w:szCs w:val="18"/>
                <w14:textFill>
                  <w14:solidFill>
                    <w14:schemeClr w14:val="tx1"/>
                  </w14:solidFill>
                </w14:textFill>
              </w:rPr>
              <w:t>电话</w:t>
            </w:r>
          </w:p>
        </w:tc>
        <w:tc>
          <w:tcPr>
            <w:tcW w:w="93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2D80FC">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下次随访时间</w:t>
            </w:r>
          </w:p>
        </w:tc>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9F8D3">
            <w:pPr>
              <w:spacing w:line="240" w:lineRule="auto"/>
              <w:ind w:firstLine="0" w:firstLineChars="0"/>
              <w:jc w:val="left"/>
              <w:rPr>
                <w:rFonts w:ascii="Times New Roman" w:hAnsi="Times New Roman" w:cs="Times New Roman"/>
                <w:color w:val="000000" w:themeColor="text1"/>
                <w:kern w:val="0"/>
                <w:sz w:val="18"/>
                <w:szCs w:val="18"/>
                <w14:textFill>
                  <w14:solidFill>
                    <w14:schemeClr w14:val="tx1"/>
                  </w14:solidFill>
                </w14:textFill>
              </w:rPr>
            </w:pPr>
          </w:p>
        </w:tc>
      </w:tr>
    </w:tbl>
    <w:p w14:paraId="074ADBF8">
      <w:pPr>
        <w:spacing w:line="240" w:lineRule="auto"/>
        <w:ind w:firstLine="36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注：AST：天冬氨酸氨基转移酶，ALT：丙氨酸氨基转移酶，CREA：肌酐，DBIL：直接胆红素，TBIL：总胆红素，TG：甘油三酯，TC：总胆固醇，LDL-C：低密度脂蛋白胆固醇，HDL-C：高密度脂蛋白胆固醇，HbAIC：糖化血红蛋白</w:t>
      </w:r>
      <w:r>
        <w:rPr>
          <w:rFonts w:hint="eastAsia" w:ascii="Times New Roman" w:hAnsi="Times New Roman" w:cs="Times New Roman"/>
          <w:color w:val="000000" w:themeColor="text1"/>
          <w:sz w:val="18"/>
          <w:szCs w:val="20"/>
          <w14:textFill>
            <w14:solidFill>
              <w14:schemeClr w14:val="tx1"/>
            </w14:solidFill>
          </w14:textFill>
        </w:rPr>
        <w:t>。</w:t>
      </w:r>
    </w:p>
    <w:p w14:paraId="5DE55A96">
      <w:pPr>
        <w:widowControl/>
        <w:spacing w:line="240" w:lineRule="auto"/>
        <w:ind w:firstLine="0" w:firstLineChars="0"/>
        <w:jc w:val="left"/>
        <w:rPr>
          <w:rFonts w:ascii="黑体" w:hAnsi="黑体" w:eastAsia="黑体" w:cs="Times New Roman"/>
          <w:color w:val="000000" w:themeColor="text1"/>
          <w:kern w:val="44"/>
          <w:sz w:val="28"/>
          <w:szCs w:val="28"/>
          <w14:textFill>
            <w14:solidFill>
              <w14:schemeClr w14:val="tx1"/>
            </w14:solidFill>
          </w14:textFill>
        </w:rPr>
      </w:pPr>
      <w:r>
        <w:rPr>
          <w:rFonts w:hint="eastAsia" w:ascii="黑体" w:hAnsi="黑体" w:eastAsia="黑体" w:cs="Times New Roman"/>
          <w:b/>
          <w:bCs/>
          <w:color w:val="000000" w:themeColor="text1"/>
          <w:sz w:val="28"/>
          <w:szCs w:val="28"/>
          <w14:textFill>
            <w14:solidFill>
              <w14:schemeClr w14:val="tx1"/>
            </w14:solidFill>
          </w14:textFill>
        </w:rPr>
        <w:br w:type="page"/>
      </w:r>
    </w:p>
    <w:p w14:paraId="42D10DC0">
      <w:pPr>
        <w:pStyle w:val="2"/>
        <w:wordWrap w:val="0"/>
        <w:topLinePunct/>
        <w:spacing w:before="300" w:after="300"/>
        <w:ind w:firstLine="562"/>
        <w:jc w:val="center"/>
        <w:rPr>
          <w:rFonts w:asciiTheme="minorEastAsia" w:hAnsiTheme="minorEastAsia" w:eastAsiaTheme="minorEastAsia" w:cstheme="minorEastAsia"/>
          <w:color w:val="000000" w:themeColor="text1"/>
          <w:sz w:val="28"/>
          <w:szCs w:val="28"/>
          <w14:textFill>
            <w14:solidFill>
              <w14:schemeClr w14:val="tx1"/>
            </w14:solidFill>
          </w14:textFill>
        </w:rPr>
      </w:pPr>
      <w:bookmarkStart w:id="278" w:name="_Toc20435"/>
      <w:bookmarkStart w:id="279" w:name="_Toc195469997"/>
      <w:bookmarkStart w:id="280" w:name="_Toc29347"/>
      <w:bookmarkStart w:id="281" w:name="_Toc27521"/>
      <w:r>
        <w:rPr>
          <w:rFonts w:hint="eastAsia" w:asciiTheme="minorEastAsia" w:hAnsiTheme="minorEastAsia" w:eastAsiaTheme="minorEastAsia" w:cstheme="minorEastAsia"/>
          <w:color w:val="000000" w:themeColor="text1"/>
          <w:sz w:val="28"/>
          <w:szCs w:val="28"/>
          <w14:textFill>
            <w14:solidFill>
              <w14:schemeClr w14:val="tx1"/>
            </w14:solidFill>
          </w14:textFill>
        </w:rPr>
        <w:t>参考文献</w:t>
      </w:r>
      <w:bookmarkEnd w:id="278"/>
      <w:bookmarkEnd w:id="279"/>
      <w:bookmarkEnd w:id="280"/>
      <w:bookmarkEnd w:id="281"/>
    </w:p>
    <w:p w14:paraId="69094FBF">
      <w:pPr>
        <w:ind w:left="420" w:hanging="420" w:hanging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 国家心血管病中心,中国心血管健康与疾病报告编写组,胡盛寿.中国心血管健康与疾病报告2024概要[J].中国循环杂志,2025,40(6):521-559.</w:t>
      </w:r>
    </w:p>
    <w:p w14:paraId="254539CA">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姚文兵,杨红,余蓉,等.生物化学[M].北京:人民卫生出版社,2016:337.</w:t>
      </w:r>
    </w:p>
    <w:p w14:paraId="6BC6C755">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中国老年保健医学研究会老年合理用药分会,中华医学会老年医学分会,中国药学会老年药学专业委员会,等.中国老年人潜在不适当用药判断标准</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2017年版</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[J].药物不良反应杂志,2018,20(1):2-8.</w:t>
      </w:r>
    </w:p>
    <w:p w14:paraId="43D9F69F">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姚玉红,何姣,单琳,等.老年骨质疏松症患者双膦酸盐类药物治疗用药依从性研究进展[J].护理与康复,2024,23(7):94-98.</w:t>
      </w:r>
    </w:p>
    <w:p w14:paraId="1BD71D96">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 O'Mahony D, Cherubini A, Guiteras AR, et al. STOPP/START criteria for potentially inappro- priate prescribing in older people: version 3[J]. Eur Geriatr Med. 2023,14 (4):625-632.</w:t>
      </w:r>
    </w:p>
    <w:p w14:paraId="2696C595">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 By the 2023 American Geriatrics Society Beers Criteria® Update Expert Panel. American Geriatrics Society 2023 updated AGS Beers Criteria® for potentially inappropriate medi- cation use in older adults[J]. J Am Geriatr Soc. 2023,71(7):2052-2081.</w:t>
      </w:r>
    </w:p>
    <w:p w14:paraId="0126A08D">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 Mann NK, Mathes T, Sönnichsen A, et al. Potentially Inadequate Medications in the Elderly: PRISCUS 2.0[J]. Dtsch Arztebl Int. 2023,120(1-2):3-10.</w:t>
      </w:r>
    </w:p>
    <w:p w14:paraId="41E9F646">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 Post-Acute and Long-Term Care Medical Association. Top 10 Particularly Dangerous Drug Interactions in PALTC[S]. [EB/OL] (2024-02-23) [2024-09-08]. https://paltmed. org/top-10- particularly-dangerous-drug-interactions-paltc.</w:t>
      </w:r>
    </w:p>
    <w:p w14:paraId="4799A5FC">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9</w:t>
      </w:r>
      <w:r>
        <w:rPr>
          <w:rFonts w:ascii="Times New Roman" w:hAnsi="Times New Roman" w:cs="Times New Roman"/>
          <w:color w:val="000000" w:themeColor="text1"/>
          <w14:textFill>
            <w14:solidFill>
              <w14:schemeClr w14:val="tx1"/>
            </w14:solidFill>
          </w14:textFill>
        </w:rPr>
        <w:t>] P A ,AE P ,S T, et al.An International Consensus List of Potentially Clinically Significant Drug-Drug Intera- ctions in Older People[J]. Journal of the American Medical Directors Association. 2021,22(10):2121-2133. e24.</w:t>
      </w:r>
    </w:p>
    <w:p w14:paraId="6C818F95">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10</w:t>
      </w:r>
      <w:r>
        <w:rPr>
          <w:rFonts w:ascii="Times New Roman" w:hAnsi="Times New Roman" w:cs="Times New Roman"/>
          <w:color w:val="000000" w:themeColor="text1"/>
          <w14:textFill>
            <w14:solidFill>
              <w14:schemeClr w14:val="tx1"/>
            </w14:solidFill>
          </w14:textFill>
        </w:rPr>
        <w:t>] Malone C D, Abarca J, Hansten D P, et al. Identification of serious drug-drug interactions: Results of the partnership to prevent drug-drug interactions[J]. American Journal of Geriatric Pharmacotherapy. 2004,3(2):65-76.</w:t>
      </w:r>
    </w:p>
    <w:p w14:paraId="416E3B91">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Mann, NK, Mathes, T, Sönnichsen, A, et al. Potentially Inadequate Medications in the Elderly: PRISCUS 2.0[J]. Dtsch Arztebl Int. 2023,120(1-2):3-10.</w:t>
      </w:r>
    </w:p>
    <w:p w14:paraId="3CF00E01">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Hanlon JT, Semla TP,Schmador KE, et al.Alternative medications for medications in the use ofhigh-risk medic-ations in the elderly and potentially harmful drug disease interactions in the elderlyquality measures[J]. Am Geriatr Soc. 2015,63(12):8-18.</w:t>
      </w:r>
    </w:p>
    <w:p w14:paraId="60561E85">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 国家卫生计生委合理用药专家委员会,中国药师协会.冠心病合理用药指南</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第2版</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[J].中国医学前沿杂志,2018,10(6):1-130.</w:t>
      </w:r>
    </w:p>
    <w:p w14:paraId="62DDAC35">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国家药典委员会.中华人民共和国药典[M].北京:中国医药科技出版社,2025:四部通则.</w:t>
      </w:r>
    </w:p>
    <w:p w14:paraId="6D244990">
      <w:pPr>
        <w:ind w:left="420" w:hanging="420" w:hanging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[15] 国家药典委员会.中华人民共和国药典临床用药须知:2020年版.化学药和生物制品卷.中国医药科技出版社.2022.</w:t>
      </w:r>
    </w:p>
    <w:p w14:paraId="24271120">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 中华医学会,中华医学会临床药学分会,中华医学会杂志社,等.稳定性冠心病基层合理用药指南[J]. 中华全科医师杂志,2021,20(4):423-434.</w:t>
      </w:r>
    </w:p>
    <w:p w14:paraId="09C8BD30">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 中华医学会,中华医学会临床药学分会,中华医学会杂志社,等.血脂异常基层合理用药指南[J]. 中华全科医师杂志,2021,20(1):29-33.</w:t>
      </w:r>
    </w:p>
    <w:p w14:paraId="750E95A1">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 应用</w:t>
      </w:r>
      <w:r>
        <w:rPr>
          <w:rFonts w:ascii="Times New Roman" w:hAnsi="Times New Roman" w:cs="Times New Roman"/>
          <w:i/>
          <w:iCs/>
          <w:color w:val="000000" w:themeColor="text1"/>
          <w14:textFill>
            <w14:solidFill>
              <w14:schemeClr w14:val="tx1"/>
            </w14:solidFill>
          </w14:textFill>
        </w:rPr>
        <w:t>β</w:t>
      </w:r>
      <w:r>
        <w:rPr>
          <w:rFonts w:ascii="Times New Roman" w:hAnsi="Times New Roman" w:cs="Times New Roman"/>
          <w:color w:val="000000" w:themeColor="text1"/>
          <w14:textFill>
            <w14:solidFill>
              <w14:schemeClr w14:val="tx1"/>
            </w14:solidFill>
          </w14:textFill>
        </w:rPr>
        <w:t>肾上腺素能受体阻滞剂规范治疗冠心病中国专家共识组.应用</w:t>
      </w:r>
      <w:r>
        <w:rPr>
          <w:rFonts w:ascii="Times New Roman" w:hAnsi="Times New Roman" w:cs="Times New Roman"/>
          <w:i/>
          <w:iCs/>
          <w:color w:val="000000" w:themeColor="text1"/>
          <w14:textFill>
            <w14:solidFill>
              <w14:schemeClr w14:val="tx1"/>
            </w14:solidFill>
          </w14:textFill>
        </w:rPr>
        <w:t>β</w:t>
      </w:r>
      <w:r>
        <w:rPr>
          <w:rFonts w:ascii="Times New Roman" w:hAnsi="Times New Roman" w:cs="Times New Roman"/>
          <w:color w:val="000000" w:themeColor="text1"/>
          <w14:textFill>
            <w14:solidFill>
              <w14:schemeClr w14:val="tx1"/>
            </w14:solidFill>
          </w14:textFill>
        </w:rPr>
        <w:t>肾上腺素能受体阻滞剂规范治疗冠心病的中国专家共识[J].中国循环杂志,2020,35(2):108-123.</w:t>
      </w:r>
    </w:p>
    <w:p w14:paraId="4B8F2E5C">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9</w:t>
      </w:r>
      <w:r>
        <w:rPr>
          <w:rFonts w:ascii="Times New Roman" w:hAnsi="Times New Roman" w:cs="Times New Roman"/>
          <w:color w:val="000000" w:themeColor="text1"/>
          <w14:textFill>
            <w14:solidFill>
              <w14:schemeClr w14:val="tx1"/>
            </w14:solidFill>
          </w14:textFill>
        </w:rPr>
        <w:t>] 中华医学会心血管病学分会,中华心血管病杂志编辑委员.硝酸酯在心血管疾病中规范化应用的专家共识[J].中华心血管病杂志,2010,38(9):770-774.</w:t>
      </w:r>
    </w:p>
    <w:p w14:paraId="4EF2566A">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20</w:t>
      </w:r>
      <w:r>
        <w:rPr>
          <w:rFonts w:ascii="Times New Roman" w:hAnsi="Times New Roman" w:cs="Times New Roman"/>
          <w:color w:val="000000" w:themeColor="text1"/>
          <w14:textFill>
            <w14:solidFill>
              <w14:schemeClr w14:val="tx1"/>
            </w14:solidFill>
          </w14:textFill>
        </w:rPr>
        <w:t>] 北京高血压防治协会,北京糖尿病防治协会,北京慢性病防治与健康教育研究会,等.基层心血管病综合管理实践指南2020[J].中国医学前沿杂志,2020,12(8):1-73.</w:t>
      </w:r>
    </w:p>
    <w:p w14:paraId="41E9F5ED">
      <w:pPr>
        <w:ind w:left="420" w:hanging="420" w:hanging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[21] 冯娟,陈皓.儿童获得性冠状动脉疾病的病因、诊断及治疗研究进展[J].山东医药,2025,65(6):130-134.</w:t>
      </w:r>
    </w:p>
    <w:p w14:paraId="478C61A2">
      <w:pPr>
        <w:ind w:left="420" w:hanging="420" w:hanging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[22] 中华医学会心血管病学分会,中国医师协会心血管内科医师分会.女性冠状动脉性心脏病诊治的中国专家共识[J].中华心血管病杂志,2023,51(2):125-135.</w:t>
      </w:r>
    </w:p>
    <w:p w14:paraId="6F8A6A33">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23</w:t>
      </w:r>
      <w:r>
        <w:rPr>
          <w:rFonts w:ascii="Times New Roman" w:hAnsi="Times New Roman" w:cs="Times New Roman"/>
          <w:color w:val="000000" w:themeColor="text1"/>
          <w14:textFill>
            <w14:solidFill>
              <w14:schemeClr w14:val="tx1"/>
            </w14:solidFill>
          </w14:textFill>
        </w:rPr>
        <w:t>] 王增武,郭远林.中国血脂管理指南（基层版2024年）[J].中国循环杂志,2024,39(04): 313-321.</w:t>
      </w:r>
    </w:p>
    <w:p w14:paraId="2C192B60">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 王杨淦,梁芳.老年冠心病慢病管理指南[J].中西医结合研究,2023,15(01):30-42.</w:t>
      </w:r>
    </w:p>
    <w:p w14:paraId="5CA1DDA9">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 周洋.冠状动脉粥样硬化性心脏病患者药物治疗管理路径专家共识[J].临床药物治疗杂志,2023,21(06):1-18.</w:t>
      </w:r>
    </w:p>
    <w:p w14:paraId="48C189CA">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 Vrints C, Andreotti F, Koskinas KC, et al. 2024 ESC Guidelines for the management of chronic coronary syndromes. Eur Heart J. 2024;45(36):3415-3537.</w:t>
      </w:r>
    </w:p>
    <w:p w14:paraId="43CFEBB7">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 中国医疗保健国际交流促进会心血管病学分会.高血压合并冠心病患者血压管理中国专家共识[J].中华医学杂志,2022,102(10):717-728.</w:t>
      </w:r>
    </w:p>
    <w:p w14:paraId="1A92A373">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 中国医疗保健国际交流促进会心血管病学分会,陈韵岱,纪立农.冠心病合并2型糖尿病患者的血糖管理专家共识[J].中国循环杂志,2024,39(4):342-352.</w:t>
      </w:r>
    </w:p>
    <w:p w14:paraId="06952FB3">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9</w:t>
      </w:r>
      <w:r>
        <w:rPr>
          <w:rFonts w:ascii="Times New Roman" w:hAnsi="Times New Roman" w:cs="Times New Roman"/>
          <w:color w:val="000000" w:themeColor="text1"/>
          <w14:textFill>
            <w14:solidFill>
              <w14:schemeClr w14:val="tx1"/>
            </w14:solidFill>
          </w14:textFill>
        </w:rPr>
        <w:t>] 中华医学会心血管病学分会,中华心血管病杂志编辑委员会.冠心病合并心房颤动患者抗栓管理中国专家共识[J].中华心血管病杂志,2020,48(7):552-564.</w:t>
      </w:r>
    </w:p>
    <w:p w14:paraId="24538CFE">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30</w:t>
      </w:r>
      <w:r>
        <w:rPr>
          <w:rFonts w:ascii="Times New Roman" w:hAnsi="Times New Roman" w:cs="Times New Roman"/>
          <w:color w:val="000000" w:themeColor="text1"/>
          <w14:textFill>
            <w14:solidFill>
              <w14:schemeClr w14:val="tx1"/>
            </w14:solidFill>
          </w14:textFill>
        </w:rPr>
        <w:t>] 中华医学会心血管病学分会,中国生物医学工程学会心律分会.心房颤动诊断和治疗中国指南[J].中华心血管病杂志,2023,51(6):572-618.</w:t>
      </w:r>
    </w:p>
    <w:p w14:paraId="3454B122">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31</w:t>
      </w:r>
      <w:r>
        <w:rPr>
          <w:rFonts w:ascii="Times New Roman" w:hAnsi="Times New Roman" w:cs="Times New Roman"/>
          <w:color w:val="000000" w:themeColor="text1"/>
          <w14:textFill>
            <w14:solidFill>
              <w14:schemeClr w14:val="tx1"/>
            </w14:solidFill>
          </w14:textFill>
        </w:rPr>
        <w:t>] 中华医学会心血管病学分会,中国医师协会心血管内科医师分会,中国医师协会心力衰竭专业委员会,中华心血管病杂志编辑委员会.中国心力衰竭诊断和治疗指南2024[J].中华心血管病杂志,2024,52(3):235-275.</w:t>
      </w:r>
    </w:p>
    <w:p w14:paraId="301C3C6B">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[32]中华医学会,中华医学会杂志社,中华医学会全科医学分会,等.稳定性冠心病基层诊疗指</w:t>
      </w:r>
      <w:r>
        <w:rPr>
          <w:rFonts w:hint="eastAsia" w:ascii="Times New Roman" w:hAnsi="Times New Roman" w:cs="Times New Roman"/>
          <w:color w:val="000000" w:themeColor="text1"/>
          <w14:textFill>
            <w14:solidFill>
              <w14:schemeClr w14:val="tx1"/>
            </w14:solidFill>
          </w14:textFill>
        </w:rPr>
        <w:t>南</w:t>
      </w:r>
      <w:r>
        <w:rPr>
          <w:rFonts w:ascii="Times New Roman" w:hAnsi="Times New Roman" w:cs="Times New Roman"/>
          <w:color w:val="000000" w:themeColor="text1"/>
          <w14:textFill>
            <w14:solidFill>
              <w14:schemeClr w14:val="tx1"/>
            </w14:solidFill>
          </w14:textFill>
        </w:rPr>
        <w:t>[J].中华全科医师杂志,2021,20(3):265-273.</w:t>
      </w:r>
    </w:p>
    <w:p w14:paraId="4646B142">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[33] 四川省医学科学院</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四川省人民医院（电子科技大学附属医院）药学部,中华医学会临床药学分会.临床药学服务价值评价实践指南（第一版）[J].医药导报,2024,43(3):321-333.</w:t>
      </w:r>
    </w:p>
    <w:p w14:paraId="210B0965">
      <w:pPr>
        <w:ind w:left="420" w:hanging="420" w:hanging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[34] 中华医学会心血管病学分会,中华心血管病杂志编辑委员会.中国慢性冠脉综合征患者诊断及管理指南[J].中华心血管病杂志,2024,52(6):589-614.</w:t>
      </w:r>
    </w:p>
    <w:p w14:paraId="3F74280E">
      <w:pPr>
        <w:ind w:left="420" w:hanging="420" w:hanging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[35] 中华医学会物理医学与康复学分会,四川大学华西医院.中国冠心病康复循证实践指南（2024版）第一部分[J].中华物理医学与康复杂志,2024,46(6):481-491.</w:t>
      </w:r>
    </w:p>
    <w:p w14:paraId="66317C0C">
      <w:pPr>
        <w:ind w:firstLine="420"/>
        <w:rPr>
          <w:rFonts w:ascii="Times New Roman" w:hAnsi="Times New Roman" w:cs="Times New Roman"/>
          <w:color w:val="000000" w:themeColor="text1"/>
          <w14:textFill>
            <w14:solidFill>
              <w14:schemeClr w14:val="tx1"/>
            </w14:solidFill>
          </w14:textFill>
        </w:rPr>
      </w:pPr>
    </w:p>
    <w:sectPr>
      <w:headerReference r:id="rId13" w:type="default"/>
      <w:footerReference r:id="rId14" w:type="default"/>
      <w:endnotePr>
        <w:numFmt w:val="decimal"/>
      </w:endnote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D9A6D">
    <w:pPr>
      <w:pStyle w:val="16"/>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CAD92">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38667">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6795"/>
    </w:sdtPr>
    <w:sdtContent>
      <w:p w14:paraId="52FE92CA">
        <w:pPr>
          <w:pStyle w:val="16"/>
          <w:ind w:firstLine="360"/>
          <w:jc w:val="center"/>
        </w:pPr>
        <w:r>
          <w:fldChar w:fldCharType="begin"/>
        </w:r>
        <w:r>
          <w:instrText xml:space="preserve">PAGE   \* MERGEFORMAT</w:instrText>
        </w:r>
        <w:r>
          <w:fldChar w:fldCharType="separate"/>
        </w:r>
        <w:r>
          <w:rPr>
            <w:lang w:val="zh-CN"/>
          </w:rPr>
          <w:t>IV</w:t>
        </w:r>
        <w:r>
          <w:rPr>
            <w:lang w:val="zh-CN"/>
          </w:rPr>
          <w:fldChar w:fldCharType="end"/>
        </w:r>
      </w:p>
    </w:sdtContent>
  </w:sdt>
  <w:p w14:paraId="0B5236B6">
    <w:pPr>
      <w:pStyle w:val="16"/>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5277"/>
    </w:sdtPr>
    <w:sdtContent>
      <w:p w14:paraId="49CF73F2">
        <w:pPr>
          <w:pStyle w:val="16"/>
          <w:ind w:firstLine="360"/>
          <w:jc w:val="center"/>
        </w:pPr>
        <w:r>
          <w:fldChar w:fldCharType="begin"/>
        </w:r>
        <w:r>
          <w:instrText xml:space="preserve">PAGE   \* MERGEFORMAT</w:instrText>
        </w:r>
        <w:r>
          <w:fldChar w:fldCharType="separate"/>
        </w:r>
        <w:r>
          <w:rPr>
            <w:lang w:val="zh-CN"/>
          </w:rPr>
          <w:t>III</w:t>
        </w:r>
        <w:r>
          <w:rPr>
            <w:lang w:val="zh-CN"/>
          </w:rPr>
          <w:fldChar w:fldCharType="end"/>
        </w:r>
      </w:p>
    </w:sdtContent>
  </w:sdt>
  <w:p w14:paraId="369FF64A">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2"/>
      </w:rPr>
      <w:id w:val="-1905218051"/>
    </w:sdtPr>
    <w:sdtEndPr>
      <w:rPr>
        <w:sz w:val="21"/>
        <w:szCs w:val="22"/>
      </w:rPr>
    </w:sdtEndPr>
    <w:sdtContent>
      <w:p w14:paraId="0507B6CB">
        <w:pPr>
          <w:pStyle w:val="16"/>
          <w:spacing w:line="240" w:lineRule="auto"/>
          <w:ind w:firstLine="0" w:firstLineChars="0"/>
          <w:jc w:val="center"/>
        </w:pPr>
        <w:r>
          <w:fldChar w:fldCharType="begin"/>
        </w:r>
        <w:r>
          <w:instrText xml:space="preserve">PAGE   \* MERGEFORMAT</w:instrText>
        </w:r>
        <w:r>
          <w:fldChar w:fldCharType="separate"/>
        </w:r>
        <w:r>
          <w:rPr>
            <w:lang w:val="zh-CN"/>
          </w:rPr>
          <w:t>47</w:t>
        </w:r>
        <w:r>
          <w:fldChar w:fldCharType="end"/>
        </w:r>
      </w:p>
    </w:sdtContent>
  </w:sdt>
  <w:p w14:paraId="13FC4B89">
    <w:pPr>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2233D">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847A">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F2977">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D6FD4">
    <w:pPr>
      <w:pStyle w:val="17"/>
      <w:ind w:firstLine="360"/>
    </w:pPr>
  </w:p>
  <w:p w14:paraId="6CD7CAD1">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AF7B6F3"/>
    <w:multiLevelType w:val="singleLevel"/>
    <w:tmpl w:val="6AF7B6F3"/>
    <w:lvl w:ilvl="0" w:tentative="0">
      <w:start w:val="1"/>
      <w:numFmt w:val="decimal"/>
      <w:suff w:val="nothing"/>
      <w:lvlText w:val="（%1）"/>
      <w:lvlJc w:val="left"/>
      <w:rPr>
        <w:rFonts w:hint="default"/>
        <w:b/>
        <w:bCs/>
      </w:rPr>
    </w:lvl>
  </w:abstractNum>
  <w:abstractNum w:abstractNumId="2">
    <w:nsid w:val="6CEA2025"/>
    <w:multiLevelType w:val="multilevel"/>
    <w:tmpl w:val="6CEA2025"/>
    <w:lvl w:ilvl="0" w:tentative="0">
      <w:start w:val="1"/>
      <w:numFmt w:val="none"/>
      <w:pStyle w:val="4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36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4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54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dit="trackedChanges" w:enforcement="0"/>
  <w:defaultTabStop w:val="420"/>
  <w:drawingGridVerticalSpacing w:val="156"/>
  <w:noPunctuationKerning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3Mzg2OGRmNDY3NDkyYTQxNGM5N2Q2ZjE4N2MyMWYifQ=="/>
  </w:docVars>
  <w:rsids>
    <w:rsidRoot w:val="00BC7831"/>
    <w:rsid w:val="00004BB5"/>
    <w:rsid w:val="000050CB"/>
    <w:rsid w:val="00007F3D"/>
    <w:rsid w:val="000107BE"/>
    <w:rsid w:val="00010DBB"/>
    <w:rsid w:val="00012680"/>
    <w:rsid w:val="00012FCA"/>
    <w:rsid w:val="00016417"/>
    <w:rsid w:val="00016695"/>
    <w:rsid w:val="000233E9"/>
    <w:rsid w:val="0002396D"/>
    <w:rsid w:val="00027BD6"/>
    <w:rsid w:val="000336FC"/>
    <w:rsid w:val="000351FF"/>
    <w:rsid w:val="00036705"/>
    <w:rsid w:val="00040CEF"/>
    <w:rsid w:val="00042E19"/>
    <w:rsid w:val="0004596A"/>
    <w:rsid w:val="000468FF"/>
    <w:rsid w:val="000470C6"/>
    <w:rsid w:val="00051519"/>
    <w:rsid w:val="00051A94"/>
    <w:rsid w:val="000529B0"/>
    <w:rsid w:val="00053659"/>
    <w:rsid w:val="000540E0"/>
    <w:rsid w:val="00054358"/>
    <w:rsid w:val="0005640B"/>
    <w:rsid w:val="00060D8E"/>
    <w:rsid w:val="0006181D"/>
    <w:rsid w:val="00061AA7"/>
    <w:rsid w:val="00061B75"/>
    <w:rsid w:val="000627C1"/>
    <w:rsid w:val="00070517"/>
    <w:rsid w:val="0007111B"/>
    <w:rsid w:val="00077D1E"/>
    <w:rsid w:val="00080DD6"/>
    <w:rsid w:val="0008237C"/>
    <w:rsid w:val="0008377B"/>
    <w:rsid w:val="0009070A"/>
    <w:rsid w:val="00092629"/>
    <w:rsid w:val="00092C44"/>
    <w:rsid w:val="00097B71"/>
    <w:rsid w:val="000A041F"/>
    <w:rsid w:val="000A64DD"/>
    <w:rsid w:val="000A6995"/>
    <w:rsid w:val="000B2DB5"/>
    <w:rsid w:val="000C29F0"/>
    <w:rsid w:val="000C4618"/>
    <w:rsid w:val="000C4C2E"/>
    <w:rsid w:val="000D145D"/>
    <w:rsid w:val="000D160A"/>
    <w:rsid w:val="000D2508"/>
    <w:rsid w:val="000D4EF9"/>
    <w:rsid w:val="000D7F63"/>
    <w:rsid w:val="000E11E1"/>
    <w:rsid w:val="000E14B5"/>
    <w:rsid w:val="000E30CA"/>
    <w:rsid w:val="000E37E2"/>
    <w:rsid w:val="000E5027"/>
    <w:rsid w:val="000E5675"/>
    <w:rsid w:val="000F0D9C"/>
    <w:rsid w:val="000F1177"/>
    <w:rsid w:val="000F3546"/>
    <w:rsid w:val="000F4BB1"/>
    <w:rsid w:val="000F6F3B"/>
    <w:rsid w:val="00100CFD"/>
    <w:rsid w:val="001010BD"/>
    <w:rsid w:val="00101327"/>
    <w:rsid w:val="00101828"/>
    <w:rsid w:val="001050BE"/>
    <w:rsid w:val="0010747F"/>
    <w:rsid w:val="00107F02"/>
    <w:rsid w:val="0011064A"/>
    <w:rsid w:val="001116C8"/>
    <w:rsid w:val="00112632"/>
    <w:rsid w:val="00116950"/>
    <w:rsid w:val="00121F15"/>
    <w:rsid w:val="001258FC"/>
    <w:rsid w:val="00126471"/>
    <w:rsid w:val="00126BF8"/>
    <w:rsid w:val="00137F36"/>
    <w:rsid w:val="00137F91"/>
    <w:rsid w:val="001432AB"/>
    <w:rsid w:val="00152643"/>
    <w:rsid w:val="001538FD"/>
    <w:rsid w:val="00155171"/>
    <w:rsid w:val="00155B36"/>
    <w:rsid w:val="00155B94"/>
    <w:rsid w:val="0016095F"/>
    <w:rsid w:val="001638FE"/>
    <w:rsid w:val="001670B5"/>
    <w:rsid w:val="00176273"/>
    <w:rsid w:val="001764C0"/>
    <w:rsid w:val="00180937"/>
    <w:rsid w:val="00180FA5"/>
    <w:rsid w:val="001818C4"/>
    <w:rsid w:val="0018452B"/>
    <w:rsid w:val="001878FE"/>
    <w:rsid w:val="001905EE"/>
    <w:rsid w:val="00194B48"/>
    <w:rsid w:val="00195740"/>
    <w:rsid w:val="00195EBA"/>
    <w:rsid w:val="0019692A"/>
    <w:rsid w:val="001974B6"/>
    <w:rsid w:val="00197829"/>
    <w:rsid w:val="001A33E4"/>
    <w:rsid w:val="001A3E7F"/>
    <w:rsid w:val="001A6111"/>
    <w:rsid w:val="001B22E8"/>
    <w:rsid w:val="001B3146"/>
    <w:rsid w:val="001C0377"/>
    <w:rsid w:val="001C13DB"/>
    <w:rsid w:val="001C36DE"/>
    <w:rsid w:val="001C3FF7"/>
    <w:rsid w:val="001C553B"/>
    <w:rsid w:val="001D3B7A"/>
    <w:rsid w:val="001D5F41"/>
    <w:rsid w:val="001E0F8A"/>
    <w:rsid w:val="001E1720"/>
    <w:rsid w:val="001E18CC"/>
    <w:rsid w:val="001E2E10"/>
    <w:rsid w:val="001E386A"/>
    <w:rsid w:val="001E3CBE"/>
    <w:rsid w:val="001E3CD1"/>
    <w:rsid w:val="001E4B2B"/>
    <w:rsid w:val="001E4EC5"/>
    <w:rsid w:val="001F44FD"/>
    <w:rsid w:val="001F4C5D"/>
    <w:rsid w:val="001F4CD4"/>
    <w:rsid w:val="002004EE"/>
    <w:rsid w:val="00206BE7"/>
    <w:rsid w:val="00210EDC"/>
    <w:rsid w:val="00211EB8"/>
    <w:rsid w:val="0021514A"/>
    <w:rsid w:val="00217817"/>
    <w:rsid w:val="00217DF9"/>
    <w:rsid w:val="002201E3"/>
    <w:rsid w:val="002206F3"/>
    <w:rsid w:val="00221111"/>
    <w:rsid w:val="002225E3"/>
    <w:rsid w:val="00222C54"/>
    <w:rsid w:val="002252BD"/>
    <w:rsid w:val="00225912"/>
    <w:rsid w:val="00226F03"/>
    <w:rsid w:val="00230B07"/>
    <w:rsid w:val="00234892"/>
    <w:rsid w:val="00236CD6"/>
    <w:rsid w:val="00243F30"/>
    <w:rsid w:val="00245117"/>
    <w:rsid w:val="00245EC1"/>
    <w:rsid w:val="0025503B"/>
    <w:rsid w:val="002568DB"/>
    <w:rsid w:val="00257047"/>
    <w:rsid w:val="00257466"/>
    <w:rsid w:val="0026231A"/>
    <w:rsid w:val="0026311E"/>
    <w:rsid w:val="00270AAD"/>
    <w:rsid w:val="00271761"/>
    <w:rsid w:val="00271D20"/>
    <w:rsid w:val="00272DAC"/>
    <w:rsid w:val="00274956"/>
    <w:rsid w:val="0027557B"/>
    <w:rsid w:val="002758F2"/>
    <w:rsid w:val="0027692C"/>
    <w:rsid w:val="002773EA"/>
    <w:rsid w:val="002800EC"/>
    <w:rsid w:val="00281936"/>
    <w:rsid w:val="00282984"/>
    <w:rsid w:val="002851DA"/>
    <w:rsid w:val="0028613D"/>
    <w:rsid w:val="00287620"/>
    <w:rsid w:val="00287BB0"/>
    <w:rsid w:val="002913CE"/>
    <w:rsid w:val="00291BAE"/>
    <w:rsid w:val="00294159"/>
    <w:rsid w:val="00294CC0"/>
    <w:rsid w:val="0029644F"/>
    <w:rsid w:val="00296BC6"/>
    <w:rsid w:val="00296CB9"/>
    <w:rsid w:val="0029705C"/>
    <w:rsid w:val="0029743A"/>
    <w:rsid w:val="002A17A1"/>
    <w:rsid w:val="002A716C"/>
    <w:rsid w:val="002B007C"/>
    <w:rsid w:val="002B16BD"/>
    <w:rsid w:val="002B41DB"/>
    <w:rsid w:val="002C01CA"/>
    <w:rsid w:val="002C258D"/>
    <w:rsid w:val="002C2B9B"/>
    <w:rsid w:val="002C341D"/>
    <w:rsid w:val="002C39AF"/>
    <w:rsid w:val="002C40D2"/>
    <w:rsid w:val="002D0095"/>
    <w:rsid w:val="002D1620"/>
    <w:rsid w:val="002D26B7"/>
    <w:rsid w:val="002D294E"/>
    <w:rsid w:val="002D430E"/>
    <w:rsid w:val="002D4631"/>
    <w:rsid w:val="002D76BC"/>
    <w:rsid w:val="002E1D71"/>
    <w:rsid w:val="002E25A0"/>
    <w:rsid w:val="002E575D"/>
    <w:rsid w:val="002E73B1"/>
    <w:rsid w:val="002F1AE7"/>
    <w:rsid w:val="002F2462"/>
    <w:rsid w:val="002F3A24"/>
    <w:rsid w:val="002F664D"/>
    <w:rsid w:val="00300BEE"/>
    <w:rsid w:val="003065F2"/>
    <w:rsid w:val="00307ECF"/>
    <w:rsid w:val="00310DF4"/>
    <w:rsid w:val="0031721B"/>
    <w:rsid w:val="003175C0"/>
    <w:rsid w:val="00324065"/>
    <w:rsid w:val="003240D5"/>
    <w:rsid w:val="00324BF8"/>
    <w:rsid w:val="00326FD0"/>
    <w:rsid w:val="00331731"/>
    <w:rsid w:val="00331B25"/>
    <w:rsid w:val="003320A9"/>
    <w:rsid w:val="00335272"/>
    <w:rsid w:val="003374F7"/>
    <w:rsid w:val="00337CF9"/>
    <w:rsid w:val="0034011E"/>
    <w:rsid w:val="00340DAF"/>
    <w:rsid w:val="0034402D"/>
    <w:rsid w:val="003443BB"/>
    <w:rsid w:val="00344FE1"/>
    <w:rsid w:val="00345F18"/>
    <w:rsid w:val="0035112F"/>
    <w:rsid w:val="00351FE2"/>
    <w:rsid w:val="003523F9"/>
    <w:rsid w:val="00360184"/>
    <w:rsid w:val="0036033F"/>
    <w:rsid w:val="003604CA"/>
    <w:rsid w:val="00361151"/>
    <w:rsid w:val="00361CBC"/>
    <w:rsid w:val="00364359"/>
    <w:rsid w:val="00365B37"/>
    <w:rsid w:val="003671BA"/>
    <w:rsid w:val="00371E2A"/>
    <w:rsid w:val="00376D1A"/>
    <w:rsid w:val="00381FD8"/>
    <w:rsid w:val="003872DF"/>
    <w:rsid w:val="003900FE"/>
    <w:rsid w:val="003919BA"/>
    <w:rsid w:val="0039612D"/>
    <w:rsid w:val="00396E92"/>
    <w:rsid w:val="0039738D"/>
    <w:rsid w:val="003A4FC5"/>
    <w:rsid w:val="003A5988"/>
    <w:rsid w:val="003A6002"/>
    <w:rsid w:val="003A6695"/>
    <w:rsid w:val="003A68F2"/>
    <w:rsid w:val="003A7124"/>
    <w:rsid w:val="003A7212"/>
    <w:rsid w:val="003A7372"/>
    <w:rsid w:val="003A7AA1"/>
    <w:rsid w:val="003B0269"/>
    <w:rsid w:val="003B7317"/>
    <w:rsid w:val="003B79E7"/>
    <w:rsid w:val="003C088D"/>
    <w:rsid w:val="003C23F2"/>
    <w:rsid w:val="003C2F64"/>
    <w:rsid w:val="003C334E"/>
    <w:rsid w:val="003C417D"/>
    <w:rsid w:val="003C52FA"/>
    <w:rsid w:val="003D01CA"/>
    <w:rsid w:val="003D0759"/>
    <w:rsid w:val="003D380B"/>
    <w:rsid w:val="003D7EE1"/>
    <w:rsid w:val="003E0E24"/>
    <w:rsid w:val="003E5D30"/>
    <w:rsid w:val="003E7C7B"/>
    <w:rsid w:val="003F0807"/>
    <w:rsid w:val="003F5A4E"/>
    <w:rsid w:val="0040217F"/>
    <w:rsid w:val="00403823"/>
    <w:rsid w:val="0040431A"/>
    <w:rsid w:val="004043F2"/>
    <w:rsid w:val="004052B7"/>
    <w:rsid w:val="00405A38"/>
    <w:rsid w:val="0040634B"/>
    <w:rsid w:val="00410B63"/>
    <w:rsid w:val="00412F5D"/>
    <w:rsid w:val="00416E52"/>
    <w:rsid w:val="00417772"/>
    <w:rsid w:val="00422B55"/>
    <w:rsid w:val="00422C7A"/>
    <w:rsid w:val="0043224A"/>
    <w:rsid w:val="00433618"/>
    <w:rsid w:val="00435258"/>
    <w:rsid w:val="004354F1"/>
    <w:rsid w:val="0043775A"/>
    <w:rsid w:val="00441459"/>
    <w:rsid w:val="004427E7"/>
    <w:rsid w:val="00444F2A"/>
    <w:rsid w:val="00450CA5"/>
    <w:rsid w:val="00454A32"/>
    <w:rsid w:val="004553B7"/>
    <w:rsid w:val="0045661C"/>
    <w:rsid w:val="00460675"/>
    <w:rsid w:val="00463313"/>
    <w:rsid w:val="00463E6D"/>
    <w:rsid w:val="00465344"/>
    <w:rsid w:val="0046692A"/>
    <w:rsid w:val="00467DE9"/>
    <w:rsid w:val="00472784"/>
    <w:rsid w:val="00477B30"/>
    <w:rsid w:val="00480EE4"/>
    <w:rsid w:val="00482A7C"/>
    <w:rsid w:val="00482B0E"/>
    <w:rsid w:val="00483D45"/>
    <w:rsid w:val="00484DFD"/>
    <w:rsid w:val="00492036"/>
    <w:rsid w:val="004926B1"/>
    <w:rsid w:val="0049285C"/>
    <w:rsid w:val="004A0150"/>
    <w:rsid w:val="004A0431"/>
    <w:rsid w:val="004A2480"/>
    <w:rsid w:val="004A4754"/>
    <w:rsid w:val="004C1A57"/>
    <w:rsid w:val="004C1D06"/>
    <w:rsid w:val="004C640F"/>
    <w:rsid w:val="004C6DEE"/>
    <w:rsid w:val="004C7BF3"/>
    <w:rsid w:val="004D4321"/>
    <w:rsid w:val="004D45FC"/>
    <w:rsid w:val="004D50EB"/>
    <w:rsid w:val="004D706E"/>
    <w:rsid w:val="004D7787"/>
    <w:rsid w:val="004E0A92"/>
    <w:rsid w:val="004E11FD"/>
    <w:rsid w:val="004E2C15"/>
    <w:rsid w:val="004E4C0F"/>
    <w:rsid w:val="004E5B27"/>
    <w:rsid w:val="004E63FF"/>
    <w:rsid w:val="004E7032"/>
    <w:rsid w:val="004F06B3"/>
    <w:rsid w:val="004F13FA"/>
    <w:rsid w:val="004F2256"/>
    <w:rsid w:val="004F2AE4"/>
    <w:rsid w:val="004F3D4A"/>
    <w:rsid w:val="004F3ED6"/>
    <w:rsid w:val="004F4A55"/>
    <w:rsid w:val="004F5BC4"/>
    <w:rsid w:val="004F7E70"/>
    <w:rsid w:val="00504CF7"/>
    <w:rsid w:val="005067F6"/>
    <w:rsid w:val="00514766"/>
    <w:rsid w:val="0051499C"/>
    <w:rsid w:val="00517F4B"/>
    <w:rsid w:val="0052437C"/>
    <w:rsid w:val="005254C2"/>
    <w:rsid w:val="00526DD9"/>
    <w:rsid w:val="0053289A"/>
    <w:rsid w:val="005359CC"/>
    <w:rsid w:val="0053631B"/>
    <w:rsid w:val="005438CD"/>
    <w:rsid w:val="0054536A"/>
    <w:rsid w:val="005454E9"/>
    <w:rsid w:val="00546038"/>
    <w:rsid w:val="00546EB3"/>
    <w:rsid w:val="00550CF9"/>
    <w:rsid w:val="00554DBF"/>
    <w:rsid w:val="00556F9A"/>
    <w:rsid w:val="005603FA"/>
    <w:rsid w:val="00564100"/>
    <w:rsid w:val="00564E02"/>
    <w:rsid w:val="00564EEE"/>
    <w:rsid w:val="00573869"/>
    <w:rsid w:val="0057469B"/>
    <w:rsid w:val="005748C1"/>
    <w:rsid w:val="005759ED"/>
    <w:rsid w:val="00584D43"/>
    <w:rsid w:val="00585F98"/>
    <w:rsid w:val="00586260"/>
    <w:rsid w:val="0058634E"/>
    <w:rsid w:val="00590F6F"/>
    <w:rsid w:val="005A3FFD"/>
    <w:rsid w:val="005A40B6"/>
    <w:rsid w:val="005A4259"/>
    <w:rsid w:val="005A4262"/>
    <w:rsid w:val="005A7C85"/>
    <w:rsid w:val="005B0416"/>
    <w:rsid w:val="005B63FD"/>
    <w:rsid w:val="005B7322"/>
    <w:rsid w:val="005C1B01"/>
    <w:rsid w:val="005C35CB"/>
    <w:rsid w:val="005C4D5C"/>
    <w:rsid w:val="005D2EEF"/>
    <w:rsid w:val="005D41A3"/>
    <w:rsid w:val="005D718A"/>
    <w:rsid w:val="005D7BAF"/>
    <w:rsid w:val="005E1E40"/>
    <w:rsid w:val="005E4503"/>
    <w:rsid w:val="005F002D"/>
    <w:rsid w:val="005F10DB"/>
    <w:rsid w:val="005F19BD"/>
    <w:rsid w:val="005F1F10"/>
    <w:rsid w:val="005F249D"/>
    <w:rsid w:val="005F36EC"/>
    <w:rsid w:val="005F373F"/>
    <w:rsid w:val="005F45C8"/>
    <w:rsid w:val="005F5240"/>
    <w:rsid w:val="005F5319"/>
    <w:rsid w:val="005F5991"/>
    <w:rsid w:val="005F7283"/>
    <w:rsid w:val="005F72FB"/>
    <w:rsid w:val="006023C3"/>
    <w:rsid w:val="0060294C"/>
    <w:rsid w:val="00604603"/>
    <w:rsid w:val="006073A9"/>
    <w:rsid w:val="006122AC"/>
    <w:rsid w:val="00613A9E"/>
    <w:rsid w:val="00614BB8"/>
    <w:rsid w:val="00614CBB"/>
    <w:rsid w:val="00615FA1"/>
    <w:rsid w:val="006209D5"/>
    <w:rsid w:val="00631DCF"/>
    <w:rsid w:val="00635596"/>
    <w:rsid w:val="0063612A"/>
    <w:rsid w:val="0064625B"/>
    <w:rsid w:val="0064639D"/>
    <w:rsid w:val="00647D63"/>
    <w:rsid w:val="006500F0"/>
    <w:rsid w:val="00651556"/>
    <w:rsid w:val="006521BF"/>
    <w:rsid w:val="00652DAC"/>
    <w:rsid w:val="00653437"/>
    <w:rsid w:val="00662F92"/>
    <w:rsid w:val="0066318F"/>
    <w:rsid w:val="006632E2"/>
    <w:rsid w:val="00670459"/>
    <w:rsid w:val="00673682"/>
    <w:rsid w:val="00673E36"/>
    <w:rsid w:val="00674298"/>
    <w:rsid w:val="00677E4F"/>
    <w:rsid w:val="006823B5"/>
    <w:rsid w:val="0068289A"/>
    <w:rsid w:val="00683987"/>
    <w:rsid w:val="00684EAD"/>
    <w:rsid w:val="00692CC5"/>
    <w:rsid w:val="00694E2E"/>
    <w:rsid w:val="006963BB"/>
    <w:rsid w:val="006A52A7"/>
    <w:rsid w:val="006B5D8C"/>
    <w:rsid w:val="006B7A22"/>
    <w:rsid w:val="006C32B9"/>
    <w:rsid w:val="006C53D1"/>
    <w:rsid w:val="006C7C91"/>
    <w:rsid w:val="006D2FBC"/>
    <w:rsid w:val="006E0BBB"/>
    <w:rsid w:val="006E1F52"/>
    <w:rsid w:val="006E324A"/>
    <w:rsid w:val="006E4104"/>
    <w:rsid w:val="006E518A"/>
    <w:rsid w:val="006E78C3"/>
    <w:rsid w:val="006F58E3"/>
    <w:rsid w:val="006F59C6"/>
    <w:rsid w:val="006F7CAF"/>
    <w:rsid w:val="00701E4E"/>
    <w:rsid w:val="0070205B"/>
    <w:rsid w:val="0070356A"/>
    <w:rsid w:val="00704A41"/>
    <w:rsid w:val="00706352"/>
    <w:rsid w:val="00710AB1"/>
    <w:rsid w:val="00710C5A"/>
    <w:rsid w:val="007130BA"/>
    <w:rsid w:val="00716495"/>
    <w:rsid w:val="00716A31"/>
    <w:rsid w:val="00724E2C"/>
    <w:rsid w:val="007323E6"/>
    <w:rsid w:val="007334EF"/>
    <w:rsid w:val="00733A10"/>
    <w:rsid w:val="00733FD9"/>
    <w:rsid w:val="00744924"/>
    <w:rsid w:val="0074759B"/>
    <w:rsid w:val="0075136A"/>
    <w:rsid w:val="00751AB7"/>
    <w:rsid w:val="00753CCA"/>
    <w:rsid w:val="00754AD5"/>
    <w:rsid w:val="007558D6"/>
    <w:rsid w:val="007563AC"/>
    <w:rsid w:val="00761416"/>
    <w:rsid w:val="00771A3E"/>
    <w:rsid w:val="00773824"/>
    <w:rsid w:val="0077415C"/>
    <w:rsid w:val="00775C4D"/>
    <w:rsid w:val="00777D80"/>
    <w:rsid w:val="007803E1"/>
    <w:rsid w:val="00784A48"/>
    <w:rsid w:val="00786D9A"/>
    <w:rsid w:val="00795A50"/>
    <w:rsid w:val="00796EE5"/>
    <w:rsid w:val="007A1468"/>
    <w:rsid w:val="007A40B9"/>
    <w:rsid w:val="007A600A"/>
    <w:rsid w:val="007A732B"/>
    <w:rsid w:val="007A776F"/>
    <w:rsid w:val="007B5FEE"/>
    <w:rsid w:val="007C05FB"/>
    <w:rsid w:val="007C0C51"/>
    <w:rsid w:val="007D0514"/>
    <w:rsid w:val="007D192A"/>
    <w:rsid w:val="007D1CE1"/>
    <w:rsid w:val="007D24E9"/>
    <w:rsid w:val="007D4F59"/>
    <w:rsid w:val="007D5332"/>
    <w:rsid w:val="007D5C5D"/>
    <w:rsid w:val="007F0E7E"/>
    <w:rsid w:val="007F39D9"/>
    <w:rsid w:val="007F584D"/>
    <w:rsid w:val="007F777A"/>
    <w:rsid w:val="00802077"/>
    <w:rsid w:val="00803DE9"/>
    <w:rsid w:val="008059D7"/>
    <w:rsid w:val="00810619"/>
    <w:rsid w:val="00811DD3"/>
    <w:rsid w:val="00817E6A"/>
    <w:rsid w:val="008213EF"/>
    <w:rsid w:val="0082199D"/>
    <w:rsid w:val="008252C3"/>
    <w:rsid w:val="00826483"/>
    <w:rsid w:val="00832012"/>
    <w:rsid w:val="0083284A"/>
    <w:rsid w:val="00833356"/>
    <w:rsid w:val="00834E78"/>
    <w:rsid w:val="00837E15"/>
    <w:rsid w:val="008407B2"/>
    <w:rsid w:val="00840850"/>
    <w:rsid w:val="0084194A"/>
    <w:rsid w:val="008524A3"/>
    <w:rsid w:val="00853B7F"/>
    <w:rsid w:val="00854437"/>
    <w:rsid w:val="0085672E"/>
    <w:rsid w:val="00861F03"/>
    <w:rsid w:val="008625E6"/>
    <w:rsid w:val="00864CDB"/>
    <w:rsid w:val="008671BC"/>
    <w:rsid w:val="00870A99"/>
    <w:rsid w:val="00872BD7"/>
    <w:rsid w:val="00876628"/>
    <w:rsid w:val="00880AEA"/>
    <w:rsid w:val="0088103A"/>
    <w:rsid w:val="0088133A"/>
    <w:rsid w:val="00881B30"/>
    <w:rsid w:val="00882E67"/>
    <w:rsid w:val="00884E39"/>
    <w:rsid w:val="008861DA"/>
    <w:rsid w:val="0089120D"/>
    <w:rsid w:val="00894266"/>
    <w:rsid w:val="008976E5"/>
    <w:rsid w:val="008A2856"/>
    <w:rsid w:val="008A4059"/>
    <w:rsid w:val="008A5942"/>
    <w:rsid w:val="008A5E64"/>
    <w:rsid w:val="008A6377"/>
    <w:rsid w:val="008A7104"/>
    <w:rsid w:val="008B1166"/>
    <w:rsid w:val="008B3B13"/>
    <w:rsid w:val="008B6CF0"/>
    <w:rsid w:val="008B7630"/>
    <w:rsid w:val="008C11E7"/>
    <w:rsid w:val="008C3742"/>
    <w:rsid w:val="008C5218"/>
    <w:rsid w:val="008D309F"/>
    <w:rsid w:val="008D3865"/>
    <w:rsid w:val="008D3F9B"/>
    <w:rsid w:val="008E088E"/>
    <w:rsid w:val="008E2431"/>
    <w:rsid w:val="008E64CF"/>
    <w:rsid w:val="008E754C"/>
    <w:rsid w:val="008F2CD0"/>
    <w:rsid w:val="008F3141"/>
    <w:rsid w:val="008F522A"/>
    <w:rsid w:val="008F5E39"/>
    <w:rsid w:val="008F721A"/>
    <w:rsid w:val="00907611"/>
    <w:rsid w:val="00910E26"/>
    <w:rsid w:val="00917AB2"/>
    <w:rsid w:val="00922137"/>
    <w:rsid w:val="00922221"/>
    <w:rsid w:val="00924C78"/>
    <w:rsid w:val="00925595"/>
    <w:rsid w:val="0093028C"/>
    <w:rsid w:val="00931243"/>
    <w:rsid w:val="00932463"/>
    <w:rsid w:val="00934A0B"/>
    <w:rsid w:val="00935D09"/>
    <w:rsid w:val="00935F40"/>
    <w:rsid w:val="00936EF9"/>
    <w:rsid w:val="009404D2"/>
    <w:rsid w:val="00941C2E"/>
    <w:rsid w:val="00943A54"/>
    <w:rsid w:val="009471CB"/>
    <w:rsid w:val="009530EA"/>
    <w:rsid w:val="0095479D"/>
    <w:rsid w:val="00955555"/>
    <w:rsid w:val="00955D21"/>
    <w:rsid w:val="00957649"/>
    <w:rsid w:val="009615F4"/>
    <w:rsid w:val="0096298B"/>
    <w:rsid w:val="009653D8"/>
    <w:rsid w:val="00966398"/>
    <w:rsid w:val="00966B9A"/>
    <w:rsid w:val="00970892"/>
    <w:rsid w:val="009710C8"/>
    <w:rsid w:val="0097215A"/>
    <w:rsid w:val="009721CC"/>
    <w:rsid w:val="00974195"/>
    <w:rsid w:val="00974570"/>
    <w:rsid w:val="00974B35"/>
    <w:rsid w:val="00975BE0"/>
    <w:rsid w:val="00977B82"/>
    <w:rsid w:val="00980260"/>
    <w:rsid w:val="009807BE"/>
    <w:rsid w:val="0098137F"/>
    <w:rsid w:val="00984ED3"/>
    <w:rsid w:val="00984F50"/>
    <w:rsid w:val="009A2899"/>
    <w:rsid w:val="009A4C52"/>
    <w:rsid w:val="009A4D4A"/>
    <w:rsid w:val="009A7EB0"/>
    <w:rsid w:val="009B1367"/>
    <w:rsid w:val="009B4563"/>
    <w:rsid w:val="009B4754"/>
    <w:rsid w:val="009C44BD"/>
    <w:rsid w:val="009C6235"/>
    <w:rsid w:val="009D06C7"/>
    <w:rsid w:val="009D2149"/>
    <w:rsid w:val="009D429C"/>
    <w:rsid w:val="009D5B8C"/>
    <w:rsid w:val="009D63F2"/>
    <w:rsid w:val="009D6A00"/>
    <w:rsid w:val="009E1BFE"/>
    <w:rsid w:val="009E3630"/>
    <w:rsid w:val="009E4ABF"/>
    <w:rsid w:val="009E5452"/>
    <w:rsid w:val="009E6329"/>
    <w:rsid w:val="009E7020"/>
    <w:rsid w:val="009E7D44"/>
    <w:rsid w:val="009F2158"/>
    <w:rsid w:val="009F2D82"/>
    <w:rsid w:val="009F368F"/>
    <w:rsid w:val="009F7F2E"/>
    <w:rsid w:val="00A017C2"/>
    <w:rsid w:val="00A05094"/>
    <w:rsid w:val="00A06045"/>
    <w:rsid w:val="00A11207"/>
    <w:rsid w:val="00A1219A"/>
    <w:rsid w:val="00A128E0"/>
    <w:rsid w:val="00A15166"/>
    <w:rsid w:val="00A1556A"/>
    <w:rsid w:val="00A15845"/>
    <w:rsid w:val="00A15D0F"/>
    <w:rsid w:val="00A17372"/>
    <w:rsid w:val="00A17380"/>
    <w:rsid w:val="00A17416"/>
    <w:rsid w:val="00A220F8"/>
    <w:rsid w:val="00A2353A"/>
    <w:rsid w:val="00A247E7"/>
    <w:rsid w:val="00A26492"/>
    <w:rsid w:val="00A27287"/>
    <w:rsid w:val="00A2787F"/>
    <w:rsid w:val="00A31917"/>
    <w:rsid w:val="00A31BB7"/>
    <w:rsid w:val="00A323A2"/>
    <w:rsid w:val="00A325AE"/>
    <w:rsid w:val="00A37615"/>
    <w:rsid w:val="00A46A32"/>
    <w:rsid w:val="00A50EB6"/>
    <w:rsid w:val="00A53294"/>
    <w:rsid w:val="00A6664B"/>
    <w:rsid w:val="00A71E8E"/>
    <w:rsid w:val="00A741EF"/>
    <w:rsid w:val="00A7434A"/>
    <w:rsid w:val="00A75415"/>
    <w:rsid w:val="00A81089"/>
    <w:rsid w:val="00A81A00"/>
    <w:rsid w:val="00A83A7E"/>
    <w:rsid w:val="00A85C1F"/>
    <w:rsid w:val="00A93EB2"/>
    <w:rsid w:val="00A951CD"/>
    <w:rsid w:val="00A96899"/>
    <w:rsid w:val="00A97D31"/>
    <w:rsid w:val="00AA3B15"/>
    <w:rsid w:val="00AA44A0"/>
    <w:rsid w:val="00AA783A"/>
    <w:rsid w:val="00AB072D"/>
    <w:rsid w:val="00AB25B2"/>
    <w:rsid w:val="00AB3E24"/>
    <w:rsid w:val="00AC0328"/>
    <w:rsid w:val="00AC3C5D"/>
    <w:rsid w:val="00AC402F"/>
    <w:rsid w:val="00AC4CFC"/>
    <w:rsid w:val="00AC5068"/>
    <w:rsid w:val="00AD0E8C"/>
    <w:rsid w:val="00AD3ABA"/>
    <w:rsid w:val="00AD3D35"/>
    <w:rsid w:val="00AD7C48"/>
    <w:rsid w:val="00AE0818"/>
    <w:rsid w:val="00AE18D9"/>
    <w:rsid w:val="00AE3472"/>
    <w:rsid w:val="00AE4234"/>
    <w:rsid w:val="00AE5582"/>
    <w:rsid w:val="00AE7768"/>
    <w:rsid w:val="00AF2381"/>
    <w:rsid w:val="00AF3C6D"/>
    <w:rsid w:val="00AF560F"/>
    <w:rsid w:val="00AF7AFB"/>
    <w:rsid w:val="00B05126"/>
    <w:rsid w:val="00B05594"/>
    <w:rsid w:val="00B101D7"/>
    <w:rsid w:val="00B141A4"/>
    <w:rsid w:val="00B2464A"/>
    <w:rsid w:val="00B25888"/>
    <w:rsid w:val="00B27B03"/>
    <w:rsid w:val="00B322AD"/>
    <w:rsid w:val="00B32300"/>
    <w:rsid w:val="00B3408F"/>
    <w:rsid w:val="00B37706"/>
    <w:rsid w:val="00B37891"/>
    <w:rsid w:val="00B422C4"/>
    <w:rsid w:val="00B42AAB"/>
    <w:rsid w:val="00B43AD9"/>
    <w:rsid w:val="00B4401F"/>
    <w:rsid w:val="00B468FA"/>
    <w:rsid w:val="00B530B7"/>
    <w:rsid w:val="00B5365B"/>
    <w:rsid w:val="00B559C0"/>
    <w:rsid w:val="00B561A1"/>
    <w:rsid w:val="00B57382"/>
    <w:rsid w:val="00B655E8"/>
    <w:rsid w:val="00B71B98"/>
    <w:rsid w:val="00B723E2"/>
    <w:rsid w:val="00B75EF7"/>
    <w:rsid w:val="00B83906"/>
    <w:rsid w:val="00B8468C"/>
    <w:rsid w:val="00B85B56"/>
    <w:rsid w:val="00B8687C"/>
    <w:rsid w:val="00B91DDB"/>
    <w:rsid w:val="00B938BA"/>
    <w:rsid w:val="00B953F2"/>
    <w:rsid w:val="00B96F19"/>
    <w:rsid w:val="00B97EBA"/>
    <w:rsid w:val="00BA6C7E"/>
    <w:rsid w:val="00BA7569"/>
    <w:rsid w:val="00BB18E1"/>
    <w:rsid w:val="00BB2758"/>
    <w:rsid w:val="00BB390B"/>
    <w:rsid w:val="00BB49F7"/>
    <w:rsid w:val="00BB61B8"/>
    <w:rsid w:val="00BB7484"/>
    <w:rsid w:val="00BB7B19"/>
    <w:rsid w:val="00BC4451"/>
    <w:rsid w:val="00BC7031"/>
    <w:rsid w:val="00BC7831"/>
    <w:rsid w:val="00BC7CC5"/>
    <w:rsid w:val="00BD2FC1"/>
    <w:rsid w:val="00BE357E"/>
    <w:rsid w:val="00BE6708"/>
    <w:rsid w:val="00BE70DE"/>
    <w:rsid w:val="00BE70E5"/>
    <w:rsid w:val="00BE768B"/>
    <w:rsid w:val="00BF4254"/>
    <w:rsid w:val="00BF66E2"/>
    <w:rsid w:val="00BF6B55"/>
    <w:rsid w:val="00BF7942"/>
    <w:rsid w:val="00C01979"/>
    <w:rsid w:val="00C057CF"/>
    <w:rsid w:val="00C13F43"/>
    <w:rsid w:val="00C14A93"/>
    <w:rsid w:val="00C14EF3"/>
    <w:rsid w:val="00C177DC"/>
    <w:rsid w:val="00C177FA"/>
    <w:rsid w:val="00C238B1"/>
    <w:rsid w:val="00C25D42"/>
    <w:rsid w:val="00C26F06"/>
    <w:rsid w:val="00C30726"/>
    <w:rsid w:val="00C30D52"/>
    <w:rsid w:val="00C3149F"/>
    <w:rsid w:val="00C3722A"/>
    <w:rsid w:val="00C472CF"/>
    <w:rsid w:val="00C47B5A"/>
    <w:rsid w:val="00C553DB"/>
    <w:rsid w:val="00C55E8F"/>
    <w:rsid w:val="00C562FA"/>
    <w:rsid w:val="00C567E3"/>
    <w:rsid w:val="00C56ABB"/>
    <w:rsid w:val="00C56E01"/>
    <w:rsid w:val="00C61FD6"/>
    <w:rsid w:val="00C62BB0"/>
    <w:rsid w:val="00C63461"/>
    <w:rsid w:val="00C64338"/>
    <w:rsid w:val="00C650CE"/>
    <w:rsid w:val="00C718A4"/>
    <w:rsid w:val="00C71918"/>
    <w:rsid w:val="00C72DF6"/>
    <w:rsid w:val="00C76BD8"/>
    <w:rsid w:val="00C820D3"/>
    <w:rsid w:val="00C839BF"/>
    <w:rsid w:val="00C84259"/>
    <w:rsid w:val="00C85914"/>
    <w:rsid w:val="00C8597E"/>
    <w:rsid w:val="00C85DF9"/>
    <w:rsid w:val="00C878D3"/>
    <w:rsid w:val="00C92BC0"/>
    <w:rsid w:val="00CA177F"/>
    <w:rsid w:val="00CA4177"/>
    <w:rsid w:val="00CA5616"/>
    <w:rsid w:val="00CA6DFB"/>
    <w:rsid w:val="00CA7857"/>
    <w:rsid w:val="00CB2DBA"/>
    <w:rsid w:val="00CB2E1F"/>
    <w:rsid w:val="00CB3451"/>
    <w:rsid w:val="00CB4B40"/>
    <w:rsid w:val="00CB6E8E"/>
    <w:rsid w:val="00CB7470"/>
    <w:rsid w:val="00CC13FA"/>
    <w:rsid w:val="00CC24B6"/>
    <w:rsid w:val="00CC3908"/>
    <w:rsid w:val="00CD3DE9"/>
    <w:rsid w:val="00CD77CC"/>
    <w:rsid w:val="00CD78A3"/>
    <w:rsid w:val="00CD7CA8"/>
    <w:rsid w:val="00CE1EAB"/>
    <w:rsid w:val="00CE21AA"/>
    <w:rsid w:val="00CF09A6"/>
    <w:rsid w:val="00CF12A8"/>
    <w:rsid w:val="00CF4F59"/>
    <w:rsid w:val="00CF55DA"/>
    <w:rsid w:val="00CF5F3C"/>
    <w:rsid w:val="00D032FC"/>
    <w:rsid w:val="00D0477E"/>
    <w:rsid w:val="00D0719A"/>
    <w:rsid w:val="00D1052F"/>
    <w:rsid w:val="00D11817"/>
    <w:rsid w:val="00D1283D"/>
    <w:rsid w:val="00D13910"/>
    <w:rsid w:val="00D13990"/>
    <w:rsid w:val="00D2167B"/>
    <w:rsid w:val="00D2169D"/>
    <w:rsid w:val="00D22F68"/>
    <w:rsid w:val="00D330C1"/>
    <w:rsid w:val="00D355E2"/>
    <w:rsid w:val="00D35D08"/>
    <w:rsid w:val="00D37383"/>
    <w:rsid w:val="00D37B7B"/>
    <w:rsid w:val="00D4033A"/>
    <w:rsid w:val="00D43A04"/>
    <w:rsid w:val="00D44952"/>
    <w:rsid w:val="00D4527B"/>
    <w:rsid w:val="00D50822"/>
    <w:rsid w:val="00D55690"/>
    <w:rsid w:val="00D55BB8"/>
    <w:rsid w:val="00D57174"/>
    <w:rsid w:val="00D57661"/>
    <w:rsid w:val="00D62642"/>
    <w:rsid w:val="00D65933"/>
    <w:rsid w:val="00D70986"/>
    <w:rsid w:val="00D734FB"/>
    <w:rsid w:val="00D736B9"/>
    <w:rsid w:val="00D754B9"/>
    <w:rsid w:val="00D81B9B"/>
    <w:rsid w:val="00D84874"/>
    <w:rsid w:val="00D901C3"/>
    <w:rsid w:val="00D9123B"/>
    <w:rsid w:val="00D914F0"/>
    <w:rsid w:val="00D9482A"/>
    <w:rsid w:val="00D97CC3"/>
    <w:rsid w:val="00DA0B2A"/>
    <w:rsid w:val="00DA259A"/>
    <w:rsid w:val="00DA3F73"/>
    <w:rsid w:val="00DA744C"/>
    <w:rsid w:val="00DB08D9"/>
    <w:rsid w:val="00DB0983"/>
    <w:rsid w:val="00DB3F18"/>
    <w:rsid w:val="00DB756F"/>
    <w:rsid w:val="00DB7F0E"/>
    <w:rsid w:val="00DC0952"/>
    <w:rsid w:val="00DC5389"/>
    <w:rsid w:val="00DC748A"/>
    <w:rsid w:val="00DD0A25"/>
    <w:rsid w:val="00DD0DD9"/>
    <w:rsid w:val="00DD4C55"/>
    <w:rsid w:val="00DD6608"/>
    <w:rsid w:val="00DD6B04"/>
    <w:rsid w:val="00DD727D"/>
    <w:rsid w:val="00DD7712"/>
    <w:rsid w:val="00DE162F"/>
    <w:rsid w:val="00DE1D6D"/>
    <w:rsid w:val="00DE485C"/>
    <w:rsid w:val="00DF39A0"/>
    <w:rsid w:val="00DF5664"/>
    <w:rsid w:val="00DF5B03"/>
    <w:rsid w:val="00DF6819"/>
    <w:rsid w:val="00DF6FCC"/>
    <w:rsid w:val="00DF765C"/>
    <w:rsid w:val="00E00ED8"/>
    <w:rsid w:val="00E01CDE"/>
    <w:rsid w:val="00E03FED"/>
    <w:rsid w:val="00E07E77"/>
    <w:rsid w:val="00E11C85"/>
    <w:rsid w:val="00E12F07"/>
    <w:rsid w:val="00E168B6"/>
    <w:rsid w:val="00E21B60"/>
    <w:rsid w:val="00E23515"/>
    <w:rsid w:val="00E2352C"/>
    <w:rsid w:val="00E236EB"/>
    <w:rsid w:val="00E242F6"/>
    <w:rsid w:val="00E246C4"/>
    <w:rsid w:val="00E321B7"/>
    <w:rsid w:val="00E32D11"/>
    <w:rsid w:val="00E33881"/>
    <w:rsid w:val="00E3493C"/>
    <w:rsid w:val="00E35429"/>
    <w:rsid w:val="00E355A6"/>
    <w:rsid w:val="00E42207"/>
    <w:rsid w:val="00E45069"/>
    <w:rsid w:val="00E45587"/>
    <w:rsid w:val="00E4701E"/>
    <w:rsid w:val="00E47469"/>
    <w:rsid w:val="00E47E38"/>
    <w:rsid w:val="00E51633"/>
    <w:rsid w:val="00E5672E"/>
    <w:rsid w:val="00E571E4"/>
    <w:rsid w:val="00E60530"/>
    <w:rsid w:val="00E60BBB"/>
    <w:rsid w:val="00E62D51"/>
    <w:rsid w:val="00E640B1"/>
    <w:rsid w:val="00E706A9"/>
    <w:rsid w:val="00E72CF1"/>
    <w:rsid w:val="00E74853"/>
    <w:rsid w:val="00E843C3"/>
    <w:rsid w:val="00E8448E"/>
    <w:rsid w:val="00E84668"/>
    <w:rsid w:val="00E846A5"/>
    <w:rsid w:val="00E86863"/>
    <w:rsid w:val="00E86BE8"/>
    <w:rsid w:val="00E87F59"/>
    <w:rsid w:val="00E90FDF"/>
    <w:rsid w:val="00E910A3"/>
    <w:rsid w:val="00E916AE"/>
    <w:rsid w:val="00E91E8F"/>
    <w:rsid w:val="00E93AC8"/>
    <w:rsid w:val="00E94646"/>
    <w:rsid w:val="00E95C6D"/>
    <w:rsid w:val="00E97078"/>
    <w:rsid w:val="00EA11F4"/>
    <w:rsid w:val="00EA5612"/>
    <w:rsid w:val="00EA5A39"/>
    <w:rsid w:val="00EA6709"/>
    <w:rsid w:val="00EB308B"/>
    <w:rsid w:val="00EB5F5D"/>
    <w:rsid w:val="00EC090C"/>
    <w:rsid w:val="00EC2A18"/>
    <w:rsid w:val="00EC3595"/>
    <w:rsid w:val="00EC3F15"/>
    <w:rsid w:val="00ED2FA9"/>
    <w:rsid w:val="00ED6A5E"/>
    <w:rsid w:val="00EE0371"/>
    <w:rsid w:val="00EE2954"/>
    <w:rsid w:val="00EE392E"/>
    <w:rsid w:val="00EE52F3"/>
    <w:rsid w:val="00EE62B7"/>
    <w:rsid w:val="00EE6E3A"/>
    <w:rsid w:val="00EF07F9"/>
    <w:rsid w:val="00EF0AC6"/>
    <w:rsid w:val="00EF1036"/>
    <w:rsid w:val="00EF4CE3"/>
    <w:rsid w:val="00EF6D59"/>
    <w:rsid w:val="00F024E8"/>
    <w:rsid w:val="00F06ADC"/>
    <w:rsid w:val="00F10A24"/>
    <w:rsid w:val="00F116F3"/>
    <w:rsid w:val="00F13A3E"/>
    <w:rsid w:val="00F13F58"/>
    <w:rsid w:val="00F1531D"/>
    <w:rsid w:val="00F1720D"/>
    <w:rsid w:val="00F23608"/>
    <w:rsid w:val="00F246DC"/>
    <w:rsid w:val="00F25F65"/>
    <w:rsid w:val="00F276EA"/>
    <w:rsid w:val="00F342E7"/>
    <w:rsid w:val="00F3760B"/>
    <w:rsid w:val="00F40810"/>
    <w:rsid w:val="00F41884"/>
    <w:rsid w:val="00F47FAC"/>
    <w:rsid w:val="00F50A25"/>
    <w:rsid w:val="00F51C34"/>
    <w:rsid w:val="00F5252B"/>
    <w:rsid w:val="00F635B5"/>
    <w:rsid w:val="00F6692A"/>
    <w:rsid w:val="00F66B18"/>
    <w:rsid w:val="00F67B28"/>
    <w:rsid w:val="00F7127D"/>
    <w:rsid w:val="00F7335F"/>
    <w:rsid w:val="00F7451B"/>
    <w:rsid w:val="00F77244"/>
    <w:rsid w:val="00F80DFB"/>
    <w:rsid w:val="00F816A5"/>
    <w:rsid w:val="00F900E1"/>
    <w:rsid w:val="00F90B03"/>
    <w:rsid w:val="00F91DC6"/>
    <w:rsid w:val="00F932AA"/>
    <w:rsid w:val="00F948F3"/>
    <w:rsid w:val="00F95AC6"/>
    <w:rsid w:val="00F95AE5"/>
    <w:rsid w:val="00FA5802"/>
    <w:rsid w:val="00FA6D0C"/>
    <w:rsid w:val="00FA7710"/>
    <w:rsid w:val="00FB00DA"/>
    <w:rsid w:val="00FB3FEA"/>
    <w:rsid w:val="00FB48CC"/>
    <w:rsid w:val="00FB6AB0"/>
    <w:rsid w:val="00FC1816"/>
    <w:rsid w:val="00FC3C2C"/>
    <w:rsid w:val="00FC3D55"/>
    <w:rsid w:val="00FC4C46"/>
    <w:rsid w:val="00FC6071"/>
    <w:rsid w:val="00FC6822"/>
    <w:rsid w:val="00FC6B8F"/>
    <w:rsid w:val="00FC7976"/>
    <w:rsid w:val="00FD0C81"/>
    <w:rsid w:val="00FD10AE"/>
    <w:rsid w:val="00FD24C6"/>
    <w:rsid w:val="00FD6685"/>
    <w:rsid w:val="00FE56ED"/>
    <w:rsid w:val="00FF1661"/>
    <w:rsid w:val="00FF20A8"/>
    <w:rsid w:val="00FF449A"/>
    <w:rsid w:val="00FF7EA2"/>
    <w:rsid w:val="023A5540"/>
    <w:rsid w:val="0245645E"/>
    <w:rsid w:val="02C32E43"/>
    <w:rsid w:val="037D62AE"/>
    <w:rsid w:val="04096FAA"/>
    <w:rsid w:val="04C77DB0"/>
    <w:rsid w:val="0566666A"/>
    <w:rsid w:val="05934284"/>
    <w:rsid w:val="059B1E55"/>
    <w:rsid w:val="06765CAA"/>
    <w:rsid w:val="06FB401F"/>
    <w:rsid w:val="070623EC"/>
    <w:rsid w:val="07AC2614"/>
    <w:rsid w:val="08623B1F"/>
    <w:rsid w:val="087E3F39"/>
    <w:rsid w:val="09004283"/>
    <w:rsid w:val="09C85D51"/>
    <w:rsid w:val="0A0842CD"/>
    <w:rsid w:val="0A1A211A"/>
    <w:rsid w:val="0A3D4984"/>
    <w:rsid w:val="0A547DDB"/>
    <w:rsid w:val="0BB45E78"/>
    <w:rsid w:val="0C4665CF"/>
    <w:rsid w:val="0CA403B4"/>
    <w:rsid w:val="0D434ACA"/>
    <w:rsid w:val="0DD12DA6"/>
    <w:rsid w:val="0E0A401C"/>
    <w:rsid w:val="0F7A392A"/>
    <w:rsid w:val="0FFF68DA"/>
    <w:rsid w:val="10153EB6"/>
    <w:rsid w:val="111623DF"/>
    <w:rsid w:val="12E6335F"/>
    <w:rsid w:val="135C204A"/>
    <w:rsid w:val="13E02514"/>
    <w:rsid w:val="14590BCA"/>
    <w:rsid w:val="15AE1D73"/>
    <w:rsid w:val="15B46839"/>
    <w:rsid w:val="15FE1B7B"/>
    <w:rsid w:val="167E2089"/>
    <w:rsid w:val="17EC4833"/>
    <w:rsid w:val="18622F00"/>
    <w:rsid w:val="18C808E8"/>
    <w:rsid w:val="19062285"/>
    <w:rsid w:val="19831126"/>
    <w:rsid w:val="198D5131"/>
    <w:rsid w:val="1A514338"/>
    <w:rsid w:val="1A7A70EF"/>
    <w:rsid w:val="1A992B5D"/>
    <w:rsid w:val="1BB81830"/>
    <w:rsid w:val="1D9216A8"/>
    <w:rsid w:val="1E656C53"/>
    <w:rsid w:val="1F0756CE"/>
    <w:rsid w:val="212262E7"/>
    <w:rsid w:val="213B6CFF"/>
    <w:rsid w:val="218240D5"/>
    <w:rsid w:val="22210B28"/>
    <w:rsid w:val="23143BE2"/>
    <w:rsid w:val="235A0B9D"/>
    <w:rsid w:val="23B77292"/>
    <w:rsid w:val="246C3A62"/>
    <w:rsid w:val="2494490F"/>
    <w:rsid w:val="24ED4258"/>
    <w:rsid w:val="25C469B7"/>
    <w:rsid w:val="26110296"/>
    <w:rsid w:val="2727469D"/>
    <w:rsid w:val="276F4A98"/>
    <w:rsid w:val="277236D9"/>
    <w:rsid w:val="27CD4E34"/>
    <w:rsid w:val="284674E0"/>
    <w:rsid w:val="286267B5"/>
    <w:rsid w:val="290945B5"/>
    <w:rsid w:val="295D3539"/>
    <w:rsid w:val="299877EA"/>
    <w:rsid w:val="2A1F7C1A"/>
    <w:rsid w:val="2A400D43"/>
    <w:rsid w:val="2AD6555A"/>
    <w:rsid w:val="2B503907"/>
    <w:rsid w:val="2B665F42"/>
    <w:rsid w:val="2B716DEB"/>
    <w:rsid w:val="2B9F73A1"/>
    <w:rsid w:val="2BE44591"/>
    <w:rsid w:val="2BEC0F77"/>
    <w:rsid w:val="2C1771CA"/>
    <w:rsid w:val="2CB1515A"/>
    <w:rsid w:val="2D5C171E"/>
    <w:rsid w:val="2D710995"/>
    <w:rsid w:val="2D853E88"/>
    <w:rsid w:val="2ED24AD7"/>
    <w:rsid w:val="2FB46C1F"/>
    <w:rsid w:val="2FD8051B"/>
    <w:rsid w:val="31847048"/>
    <w:rsid w:val="319F0920"/>
    <w:rsid w:val="31DB536D"/>
    <w:rsid w:val="31F40051"/>
    <w:rsid w:val="324A6F07"/>
    <w:rsid w:val="331D184C"/>
    <w:rsid w:val="33252641"/>
    <w:rsid w:val="340D6AF3"/>
    <w:rsid w:val="344D66B3"/>
    <w:rsid w:val="34906F1F"/>
    <w:rsid w:val="35B27270"/>
    <w:rsid w:val="36745C27"/>
    <w:rsid w:val="368C5F0F"/>
    <w:rsid w:val="36A31332"/>
    <w:rsid w:val="371B60A2"/>
    <w:rsid w:val="377A101B"/>
    <w:rsid w:val="37CB7C98"/>
    <w:rsid w:val="38591578"/>
    <w:rsid w:val="390D731E"/>
    <w:rsid w:val="3A0B7B2F"/>
    <w:rsid w:val="3ABC1126"/>
    <w:rsid w:val="3AD04FC2"/>
    <w:rsid w:val="3BE00556"/>
    <w:rsid w:val="3C2114F9"/>
    <w:rsid w:val="3CC176EC"/>
    <w:rsid w:val="3CE0205A"/>
    <w:rsid w:val="3DD8256D"/>
    <w:rsid w:val="3E2057EC"/>
    <w:rsid w:val="3E6F164E"/>
    <w:rsid w:val="3E8D4AF2"/>
    <w:rsid w:val="3F26718D"/>
    <w:rsid w:val="3FA70E1B"/>
    <w:rsid w:val="40CE75B7"/>
    <w:rsid w:val="40D765A5"/>
    <w:rsid w:val="40F166C0"/>
    <w:rsid w:val="40F43207"/>
    <w:rsid w:val="41243B53"/>
    <w:rsid w:val="4182273C"/>
    <w:rsid w:val="41BE539A"/>
    <w:rsid w:val="41C669A7"/>
    <w:rsid w:val="420102EC"/>
    <w:rsid w:val="43525967"/>
    <w:rsid w:val="43940AC5"/>
    <w:rsid w:val="43A114ED"/>
    <w:rsid w:val="43A473D7"/>
    <w:rsid w:val="43AC2084"/>
    <w:rsid w:val="44305883"/>
    <w:rsid w:val="44707B17"/>
    <w:rsid w:val="447C3E85"/>
    <w:rsid w:val="451D00EF"/>
    <w:rsid w:val="454412F6"/>
    <w:rsid w:val="457F47AA"/>
    <w:rsid w:val="45815D34"/>
    <w:rsid w:val="46073882"/>
    <w:rsid w:val="462E7BA0"/>
    <w:rsid w:val="470831E7"/>
    <w:rsid w:val="47C95037"/>
    <w:rsid w:val="4805569F"/>
    <w:rsid w:val="481050D9"/>
    <w:rsid w:val="48217C0F"/>
    <w:rsid w:val="483C4E50"/>
    <w:rsid w:val="491007DC"/>
    <w:rsid w:val="4A1325D1"/>
    <w:rsid w:val="4A494105"/>
    <w:rsid w:val="4AB442A4"/>
    <w:rsid w:val="4B1A4F7C"/>
    <w:rsid w:val="4B580660"/>
    <w:rsid w:val="4BBD2070"/>
    <w:rsid w:val="4C234958"/>
    <w:rsid w:val="4CEC1F83"/>
    <w:rsid w:val="4D73501E"/>
    <w:rsid w:val="4D9D71F0"/>
    <w:rsid w:val="4E807407"/>
    <w:rsid w:val="4EB233C7"/>
    <w:rsid w:val="4EB400C1"/>
    <w:rsid w:val="4F5F0747"/>
    <w:rsid w:val="50311209"/>
    <w:rsid w:val="5039109A"/>
    <w:rsid w:val="5108465F"/>
    <w:rsid w:val="51832931"/>
    <w:rsid w:val="518357C9"/>
    <w:rsid w:val="5186785B"/>
    <w:rsid w:val="51A27179"/>
    <w:rsid w:val="51DB53F8"/>
    <w:rsid w:val="5204321B"/>
    <w:rsid w:val="524F1293"/>
    <w:rsid w:val="526130AB"/>
    <w:rsid w:val="52897275"/>
    <w:rsid w:val="52F51188"/>
    <w:rsid w:val="53096BF1"/>
    <w:rsid w:val="53F44DFB"/>
    <w:rsid w:val="5495528E"/>
    <w:rsid w:val="55A86C92"/>
    <w:rsid w:val="56436DCE"/>
    <w:rsid w:val="56E616A2"/>
    <w:rsid w:val="573623E9"/>
    <w:rsid w:val="574204BE"/>
    <w:rsid w:val="582278A6"/>
    <w:rsid w:val="58537AE3"/>
    <w:rsid w:val="59196943"/>
    <w:rsid w:val="5A61633E"/>
    <w:rsid w:val="5B221095"/>
    <w:rsid w:val="5BAA6A95"/>
    <w:rsid w:val="5C403B1A"/>
    <w:rsid w:val="5CBC7FB4"/>
    <w:rsid w:val="5CC2211A"/>
    <w:rsid w:val="5D2D075A"/>
    <w:rsid w:val="5DB912B4"/>
    <w:rsid w:val="5F0454EA"/>
    <w:rsid w:val="5FE84E0C"/>
    <w:rsid w:val="60FD4502"/>
    <w:rsid w:val="610A265B"/>
    <w:rsid w:val="614A7B68"/>
    <w:rsid w:val="62285198"/>
    <w:rsid w:val="62B23485"/>
    <w:rsid w:val="63035AB9"/>
    <w:rsid w:val="632E2407"/>
    <w:rsid w:val="638B442C"/>
    <w:rsid w:val="644A1A88"/>
    <w:rsid w:val="64555034"/>
    <w:rsid w:val="645C7B76"/>
    <w:rsid w:val="64B9464D"/>
    <w:rsid w:val="651F7250"/>
    <w:rsid w:val="66A31A8D"/>
    <w:rsid w:val="66A609CB"/>
    <w:rsid w:val="66A82BFF"/>
    <w:rsid w:val="67403FB0"/>
    <w:rsid w:val="6AE42FEB"/>
    <w:rsid w:val="6BA73DCD"/>
    <w:rsid w:val="6C374427"/>
    <w:rsid w:val="6C4C3686"/>
    <w:rsid w:val="6CCA2F34"/>
    <w:rsid w:val="6CFC0AC4"/>
    <w:rsid w:val="6D21370B"/>
    <w:rsid w:val="6D572E88"/>
    <w:rsid w:val="6DAB187D"/>
    <w:rsid w:val="6DB838AE"/>
    <w:rsid w:val="6DEA3B30"/>
    <w:rsid w:val="6E5537AA"/>
    <w:rsid w:val="701B23F8"/>
    <w:rsid w:val="705A2038"/>
    <w:rsid w:val="707C5EBE"/>
    <w:rsid w:val="70A46306"/>
    <w:rsid w:val="714E2233"/>
    <w:rsid w:val="716B31A7"/>
    <w:rsid w:val="718952F4"/>
    <w:rsid w:val="729D356A"/>
    <w:rsid w:val="72BA2638"/>
    <w:rsid w:val="75B92D89"/>
    <w:rsid w:val="75C049CB"/>
    <w:rsid w:val="75D228D7"/>
    <w:rsid w:val="76B64EB7"/>
    <w:rsid w:val="77A613DD"/>
    <w:rsid w:val="77F46EED"/>
    <w:rsid w:val="78DE4902"/>
    <w:rsid w:val="793F39FB"/>
    <w:rsid w:val="79575C9B"/>
    <w:rsid w:val="795813B1"/>
    <w:rsid w:val="796163C9"/>
    <w:rsid w:val="7A9A1755"/>
    <w:rsid w:val="7AF5355C"/>
    <w:rsid w:val="7B324102"/>
    <w:rsid w:val="7BB87930"/>
    <w:rsid w:val="7CE72098"/>
    <w:rsid w:val="7DA514EC"/>
    <w:rsid w:val="7FE36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qFormat="1" w:uiPriority="39" w:name="toc 5"/>
    <w:lsdException w:uiPriority="39" w:name="toc 6"/>
    <w:lsdException w:uiPriority="39" w:name="toc 7"/>
    <w:lsdException w:uiPriority="39" w:name="toc 8"/>
    <w:lsdException w:qFormat="1"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4"/>
    <w:unhideWhenUsed/>
    <w:qFormat/>
    <w:uiPriority w:val="9"/>
    <w:pPr>
      <w:keepNext/>
      <w:keepLines/>
      <w:spacing w:before="260" w:after="260" w:line="415" w:lineRule="auto"/>
      <w:outlineLvl w:val="1"/>
    </w:pPr>
    <w:rPr>
      <w:rFonts w:ascii="等线 Light" w:hAnsi="等线 Light" w:eastAsia="等线 Light" w:cs="宋体"/>
      <w:b/>
      <w:bCs/>
      <w:sz w:val="32"/>
      <w:szCs w:val="32"/>
    </w:rPr>
  </w:style>
  <w:style w:type="paragraph" w:styleId="4">
    <w:name w:val="heading 3"/>
    <w:basedOn w:val="1"/>
    <w:next w:val="1"/>
    <w:link w:val="55"/>
    <w:unhideWhenUsed/>
    <w:qFormat/>
    <w:uiPriority w:val="9"/>
    <w:pPr>
      <w:keepNext/>
      <w:keepLines/>
      <w:spacing w:before="50" w:beforeLines="50" w:after="50" w:afterLines="50" w:line="240" w:lineRule="auto"/>
      <w:ind w:firstLine="0" w:firstLineChars="0"/>
      <w:outlineLvl w:val="2"/>
    </w:pPr>
    <w:rPr>
      <w:rFonts w:eastAsia="黑体"/>
      <w:b/>
      <w:bCs/>
      <w:szCs w:val="32"/>
    </w:rPr>
  </w:style>
  <w:style w:type="paragraph" w:styleId="5">
    <w:name w:val="heading 4"/>
    <w:basedOn w:val="1"/>
    <w:next w:val="1"/>
    <w:link w:val="56"/>
    <w:unhideWhenUsed/>
    <w:qFormat/>
    <w:uiPriority w:val="9"/>
    <w:pPr>
      <w:keepNext/>
      <w:keepLines/>
      <w:ind w:firstLine="0" w:firstLineChars="0"/>
      <w:jc w:val="left"/>
      <w:outlineLvl w:val="3"/>
    </w:pPr>
    <w:rPr>
      <w:rFonts w:ascii="Times New Roman" w:hAnsi="Times New Roman" w:cstheme="majorBidi"/>
      <w:bCs/>
      <w:szCs w:val="28"/>
    </w:rPr>
  </w:style>
  <w:style w:type="paragraph" w:styleId="6">
    <w:name w:val="heading 5"/>
    <w:basedOn w:val="1"/>
    <w:next w:val="1"/>
    <w:link w:val="67"/>
    <w:unhideWhenUsed/>
    <w:qFormat/>
    <w:uiPriority w:val="9"/>
    <w:pPr>
      <w:keepNext/>
      <w:keepLines/>
      <w:outlineLvl w:val="4"/>
    </w:pPr>
    <w:rPr>
      <w:rFonts w:ascii="Times New Roman" w:hAnsi="Times New Roman"/>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spacing w:line="240" w:lineRule="auto"/>
    </w:pPr>
    <w:rPr>
      <w:rFonts w:asciiTheme="majorHAnsi" w:hAnsiTheme="majorHAnsi" w:cstheme="majorBidi"/>
      <w:sz w:val="18"/>
      <w:szCs w:val="20"/>
    </w:rPr>
  </w:style>
  <w:style w:type="paragraph" w:styleId="8">
    <w:name w:val="annotation text"/>
    <w:basedOn w:val="1"/>
    <w:link w:val="59"/>
    <w:semiHidden/>
    <w:unhideWhenUsed/>
    <w:qFormat/>
    <w:uiPriority w:val="99"/>
    <w:pPr>
      <w:jc w:val="left"/>
    </w:pPr>
  </w:style>
  <w:style w:type="paragraph" w:styleId="9">
    <w:name w:val="Body Text 3"/>
    <w:basedOn w:val="1"/>
    <w:link w:val="34"/>
    <w:qFormat/>
    <w:uiPriority w:val="0"/>
    <w:pPr>
      <w:widowControl/>
    </w:pPr>
    <w:rPr>
      <w:rFonts w:ascii="Times New Roman" w:hAnsi="Times New Roman" w:eastAsia="仿宋_GB2312" w:cs="Times New Roman"/>
      <w:kern w:val="0"/>
      <w:sz w:val="28"/>
      <w:szCs w:val="20"/>
    </w:rPr>
  </w:style>
  <w:style w:type="paragraph" w:styleId="10">
    <w:name w:val="Body Text"/>
    <w:next w:val="1"/>
    <w:qFormat/>
    <w:uiPriority w:val="0"/>
    <w:pPr>
      <w:widowControl w:val="0"/>
      <w:spacing w:after="120" w:line="278" w:lineRule="auto"/>
      <w:jc w:val="both"/>
    </w:pPr>
    <w:rPr>
      <w:rFonts w:ascii="Times New Roman" w:hAnsi="Times New Roman" w:eastAsia="仿宋_GB2312" w:cs="Times New Roman"/>
      <w:kern w:val="2"/>
      <w:sz w:val="31"/>
      <w:szCs w:val="21"/>
      <w:lang w:val="en-US" w:eastAsia="zh-CN" w:bidi="ar-SA"/>
    </w:rPr>
  </w:style>
  <w:style w:type="paragraph" w:styleId="11">
    <w:name w:val="toc 5"/>
    <w:basedOn w:val="1"/>
    <w:next w:val="1"/>
    <w:semiHidden/>
    <w:unhideWhenUsed/>
    <w:qFormat/>
    <w:uiPriority w:val="39"/>
    <w:pPr>
      <w:ind w:left="1680" w:leftChars="800"/>
    </w:pPr>
  </w:style>
  <w:style w:type="paragraph" w:styleId="12">
    <w:name w:val="toc 3"/>
    <w:basedOn w:val="1"/>
    <w:next w:val="1"/>
    <w:unhideWhenUsed/>
    <w:qFormat/>
    <w:uiPriority w:val="39"/>
    <w:pPr>
      <w:ind w:left="840" w:leftChars="400"/>
    </w:pPr>
  </w:style>
  <w:style w:type="paragraph" w:styleId="13">
    <w:name w:val="Date"/>
    <w:basedOn w:val="1"/>
    <w:next w:val="1"/>
    <w:link w:val="73"/>
    <w:semiHidden/>
    <w:unhideWhenUsed/>
    <w:qFormat/>
    <w:uiPriority w:val="99"/>
    <w:pPr>
      <w:ind w:left="100" w:leftChars="2500"/>
    </w:pPr>
  </w:style>
  <w:style w:type="paragraph" w:styleId="14">
    <w:name w:val="endnote text"/>
    <w:basedOn w:val="1"/>
    <w:semiHidden/>
    <w:unhideWhenUsed/>
    <w:qFormat/>
    <w:uiPriority w:val="99"/>
    <w:pPr>
      <w:snapToGrid w:val="0"/>
      <w:jc w:val="left"/>
    </w:pPr>
  </w:style>
  <w:style w:type="paragraph" w:styleId="15">
    <w:name w:val="Balloon Text"/>
    <w:basedOn w:val="1"/>
    <w:link w:val="48"/>
    <w:semiHidden/>
    <w:unhideWhenUsed/>
    <w:qFormat/>
    <w:uiPriority w:val="99"/>
    <w:rPr>
      <w:sz w:val="18"/>
      <w:szCs w:val="18"/>
    </w:rPr>
  </w:style>
  <w:style w:type="paragraph" w:styleId="16">
    <w:name w:val="footer"/>
    <w:basedOn w:val="1"/>
    <w:link w:val="45"/>
    <w:unhideWhenUsed/>
    <w:qFormat/>
    <w:uiPriority w:val="99"/>
    <w:pPr>
      <w:tabs>
        <w:tab w:val="center" w:pos="4153"/>
        <w:tab w:val="right" w:pos="8306"/>
      </w:tabs>
      <w:snapToGrid w:val="0"/>
      <w:jc w:val="left"/>
    </w:pPr>
    <w:rPr>
      <w:sz w:val="18"/>
      <w:szCs w:val="18"/>
    </w:rPr>
  </w:style>
  <w:style w:type="paragraph" w:styleId="17">
    <w:name w:val="header"/>
    <w:basedOn w:val="1"/>
    <w:link w:val="44"/>
    <w:qFormat/>
    <w:uiPriority w:val="99"/>
    <w:pPr>
      <w:tabs>
        <w:tab w:val="center" w:pos="4153"/>
        <w:tab w:val="right" w:pos="8306"/>
      </w:tabs>
      <w:snapToGrid w:val="0"/>
      <w:jc w:val="center"/>
    </w:pPr>
    <w:rPr>
      <w:rFonts w:ascii="Times New Roman" w:hAnsi="Times New Roman" w:cs="Times New Roman"/>
      <w:sz w:val="18"/>
      <w:szCs w:val="18"/>
    </w:rPr>
  </w:style>
  <w:style w:type="paragraph" w:styleId="18">
    <w:name w:val="toc 1"/>
    <w:next w:val="1"/>
    <w:qFormat/>
    <w:uiPriority w:val="39"/>
    <w:pPr>
      <w:widowControl w:val="0"/>
      <w:spacing w:before="240" w:after="120" w:line="278" w:lineRule="auto"/>
    </w:pPr>
    <w:rPr>
      <w:rFonts w:ascii="等线" w:hAnsi="Times New Roman" w:eastAsia="宋体" w:cs="Times New Roman"/>
      <w:b/>
      <w:bCs/>
      <w:kern w:val="2"/>
      <w:sz w:val="21"/>
      <w:lang w:val="en-US" w:eastAsia="zh-CN" w:bidi="ar-SA"/>
    </w:rPr>
  </w:style>
  <w:style w:type="paragraph" w:styleId="19">
    <w:name w:val="toc 2"/>
    <w:basedOn w:val="20"/>
    <w:next w:val="1"/>
    <w:unhideWhenUsed/>
    <w:qFormat/>
    <w:uiPriority w:val="39"/>
    <w:pPr>
      <w:tabs>
        <w:tab w:val="left" w:pos="0"/>
        <w:tab w:val="right" w:leader="dot" w:pos="8302"/>
      </w:tabs>
      <w:spacing w:before="0" w:beforeLines="0" w:after="0" w:afterLines="0"/>
      <w:ind w:left="0" w:firstLine="454"/>
    </w:pPr>
    <w:rPr>
      <w:rFonts w:eastAsia="宋体"/>
      <w:b w:val="0"/>
    </w:rPr>
  </w:style>
  <w:style w:type="paragraph" w:customStyle="1" w:styleId="20">
    <w:name w:val="章标题"/>
    <w:next w:val="21"/>
    <w:link w:val="35"/>
    <w:qFormat/>
    <w:uiPriority w:val="0"/>
    <w:pPr>
      <w:tabs>
        <w:tab w:val="left" w:pos="0"/>
      </w:tabs>
      <w:spacing w:before="312" w:beforeLines="100" w:after="312" w:afterLines="100" w:line="360" w:lineRule="auto"/>
      <w:ind w:left="425" w:hanging="425"/>
      <w:jc w:val="both"/>
      <w:outlineLvl w:val="1"/>
    </w:pPr>
    <w:rPr>
      <w:rFonts w:ascii="黑体" w:hAnsi="黑体" w:eastAsia="黑体" w:cs="Times New Roman"/>
      <w:b/>
      <w:bCs/>
      <w:color w:val="000000" w:themeColor="text1"/>
      <w:kern w:val="2"/>
      <w:sz w:val="21"/>
      <w:szCs w:val="22"/>
      <w:lang w:val="en-US" w:eastAsia="zh-CN" w:bidi="ar-SA"/>
      <w14:textFill>
        <w14:solidFill>
          <w14:schemeClr w14:val="tx1"/>
        </w14:solidFill>
      </w14:textFill>
    </w:rPr>
  </w:style>
  <w:style w:type="paragraph" w:customStyle="1" w:styleId="21">
    <w:name w:val="段"/>
    <w:link w:val="53"/>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styleId="22">
    <w:name w:val="toc 9"/>
    <w:basedOn w:val="1"/>
    <w:next w:val="1"/>
    <w:autoRedefine/>
    <w:semiHidden/>
    <w:unhideWhenUsed/>
    <w:qFormat/>
    <w:uiPriority w:val="39"/>
    <w:pPr>
      <w:ind w:left="3360" w:leftChars="1600"/>
    </w:pPr>
  </w:style>
  <w:style w:type="paragraph" w:styleId="2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24">
    <w:name w:val="annotation subject"/>
    <w:basedOn w:val="8"/>
    <w:next w:val="8"/>
    <w:link w:val="60"/>
    <w:semiHidden/>
    <w:unhideWhenUsed/>
    <w:qFormat/>
    <w:uiPriority w:val="99"/>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endnote reference"/>
    <w:basedOn w:val="27"/>
    <w:semiHidden/>
    <w:unhideWhenUsed/>
    <w:qFormat/>
    <w:uiPriority w:val="99"/>
    <w:rPr>
      <w:vertAlign w:val="superscript"/>
    </w:rPr>
  </w:style>
  <w:style w:type="character" w:styleId="29">
    <w:name w:val="Emphasis"/>
    <w:basedOn w:val="27"/>
    <w:qFormat/>
    <w:uiPriority w:val="20"/>
    <w:rPr>
      <w:i/>
      <w:iCs/>
    </w:rPr>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styleId="31">
    <w:name w:val="annotation reference"/>
    <w:basedOn w:val="27"/>
    <w:semiHidden/>
    <w:unhideWhenUsed/>
    <w:qFormat/>
    <w:uiPriority w:val="99"/>
    <w:rPr>
      <w:sz w:val="21"/>
      <w:szCs w:val="21"/>
    </w:rPr>
  </w:style>
  <w:style w:type="character" w:customStyle="1" w:styleId="32">
    <w:name w:val="标题 2 Char"/>
    <w:basedOn w:val="27"/>
    <w:semiHidden/>
    <w:qFormat/>
    <w:uiPriority w:val="9"/>
    <w:rPr>
      <w:rFonts w:asciiTheme="majorHAnsi" w:hAnsiTheme="majorHAnsi" w:eastAsiaTheme="majorEastAsia" w:cstheme="majorBidi"/>
      <w:b/>
      <w:bCs/>
      <w:sz w:val="32"/>
      <w:szCs w:val="32"/>
    </w:rPr>
  </w:style>
  <w:style w:type="character" w:customStyle="1" w:styleId="33">
    <w:name w:val="标题 1 字符"/>
    <w:basedOn w:val="27"/>
    <w:link w:val="2"/>
    <w:qFormat/>
    <w:uiPriority w:val="9"/>
    <w:rPr>
      <w:b/>
      <w:bCs/>
      <w:kern w:val="44"/>
      <w:sz w:val="44"/>
      <w:szCs w:val="44"/>
    </w:rPr>
  </w:style>
  <w:style w:type="character" w:customStyle="1" w:styleId="34">
    <w:name w:val="正文文本 3 字符"/>
    <w:basedOn w:val="27"/>
    <w:link w:val="9"/>
    <w:qFormat/>
    <w:uiPriority w:val="0"/>
    <w:rPr>
      <w:rFonts w:ascii="Times New Roman" w:hAnsi="Times New Roman" w:eastAsia="仿宋_GB2312" w:cs="Times New Roman"/>
      <w:kern w:val="0"/>
      <w:sz w:val="28"/>
      <w:szCs w:val="20"/>
    </w:rPr>
  </w:style>
  <w:style w:type="character" w:customStyle="1" w:styleId="35">
    <w:name w:val="章标题 Char"/>
    <w:link w:val="20"/>
    <w:qFormat/>
    <w:uiPriority w:val="0"/>
    <w:rPr>
      <w:rFonts w:ascii="黑体" w:hAnsi="黑体" w:eastAsia="黑体"/>
      <w:b/>
      <w:bCs/>
      <w:color w:val="000000" w:themeColor="text1"/>
      <w:kern w:val="2"/>
      <w:sz w:val="21"/>
      <w:szCs w:val="22"/>
      <w14:textFill>
        <w14:solidFill>
          <w14:schemeClr w14:val="tx1"/>
        </w14:solidFill>
      </w14:textFill>
    </w:rPr>
  </w:style>
  <w:style w:type="character" w:customStyle="1" w:styleId="36">
    <w:name w:val="一级条标题 字符"/>
    <w:link w:val="37"/>
    <w:qFormat/>
    <w:uiPriority w:val="0"/>
    <w:rPr>
      <w:rFonts w:eastAsia="宋体" w:asciiTheme="minorHAnsi" w:hAnsiTheme="minorHAnsi" w:cstheme="minorBidi"/>
      <w:b/>
      <w:kern w:val="2"/>
      <w:sz w:val="21"/>
      <w:szCs w:val="22"/>
    </w:rPr>
  </w:style>
  <w:style w:type="paragraph" w:customStyle="1" w:styleId="37">
    <w:name w:val="一级条标题"/>
    <w:next w:val="21"/>
    <w:link w:val="36"/>
    <w:qFormat/>
    <w:uiPriority w:val="0"/>
    <w:pPr>
      <w:spacing w:before="50" w:beforeLines="50" w:after="50" w:afterLines="50"/>
      <w:outlineLvl w:val="2"/>
    </w:pPr>
    <w:rPr>
      <w:rFonts w:eastAsia="宋体" w:asciiTheme="minorHAnsi" w:hAnsiTheme="minorHAnsi" w:cstheme="minorBidi"/>
      <w:b/>
      <w:kern w:val="2"/>
      <w:sz w:val="21"/>
      <w:szCs w:val="22"/>
      <w:lang w:val="en-US" w:eastAsia="zh-CN" w:bidi="ar-SA"/>
    </w:rPr>
  </w:style>
  <w:style w:type="character" w:customStyle="1" w:styleId="38">
    <w:name w:val="页眉 Char"/>
    <w:basedOn w:val="27"/>
    <w:semiHidden/>
    <w:qFormat/>
    <w:uiPriority w:val="99"/>
    <w:rPr>
      <w:sz w:val="18"/>
      <w:szCs w:val="18"/>
    </w:rPr>
  </w:style>
  <w:style w:type="paragraph" w:customStyle="1" w:styleId="39">
    <w:name w:val="目次、标准名称标题"/>
    <w:basedOn w:val="1"/>
    <w:next w:val="1"/>
    <w:qFormat/>
    <w:uiPriority w:val="0"/>
    <w:pPr>
      <w:widowControl/>
      <w:shd w:val="clear" w:color="FFFFFF" w:fill="FFFFFF"/>
      <w:spacing w:before="640" w:after="560" w:line="460" w:lineRule="exact"/>
      <w:jc w:val="center"/>
      <w:outlineLvl w:val="0"/>
    </w:pPr>
    <w:rPr>
      <w:rFonts w:ascii="黑体" w:hAnsi="Times New Roman" w:cs="Times New Roman"/>
      <w:b/>
      <w:kern w:val="0"/>
      <w:sz w:val="32"/>
      <w:szCs w:val="20"/>
    </w:rPr>
  </w:style>
  <w:style w:type="paragraph" w:customStyle="1" w:styleId="40">
    <w:name w:val="二级条标题"/>
    <w:basedOn w:val="37"/>
    <w:next w:val="21"/>
    <w:qFormat/>
    <w:uiPriority w:val="0"/>
    <w:pPr>
      <w:numPr>
        <w:ilvl w:val="3"/>
        <w:numId w:val="1"/>
      </w:numPr>
      <w:tabs>
        <w:tab w:val="left" w:pos="435"/>
      </w:tabs>
      <w:spacing w:before="0" w:beforeLines="0" w:after="0" w:afterLines="0"/>
      <w:outlineLvl w:val="3"/>
    </w:pPr>
    <w:rPr>
      <w:rFonts w:eastAsia="黑体"/>
    </w:rPr>
  </w:style>
  <w:style w:type="paragraph" w:customStyle="1" w:styleId="41">
    <w:name w:val="注：（正文）"/>
    <w:basedOn w:val="1"/>
    <w:next w:val="21"/>
    <w:qFormat/>
    <w:uiPriority w:val="0"/>
    <w:pPr>
      <w:numPr>
        <w:ilvl w:val="0"/>
        <w:numId w:val="2"/>
      </w:numPr>
      <w:tabs>
        <w:tab w:val="left" w:pos="1080"/>
      </w:tabs>
      <w:autoSpaceDE w:val="0"/>
      <w:autoSpaceDN w:val="0"/>
      <w:ind w:left="726" w:hanging="363"/>
    </w:pPr>
    <w:rPr>
      <w:rFonts w:ascii="宋体" w:hAnsi="Times New Roman" w:cs="Times New Roman"/>
      <w:kern w:val="0"/>
      <w:sz w:val="18"/>
      <w:szCs w:val="18"/>
    </w:rPr>
  </w:style>
  <w:style w:type="paragraph" w:customStyle="1" w:styleId="42">
    <w:name w:val="前言、引言标题"/>
    <w:next w:val="1"/>
    <w:qFormat/>
    <w:uiPriority w:val="0"/>
    <w:pPr>
      <w:numPr>
        <w:ilvl w:val="0"/>
        <w:numId w:val="1"/>
      </w:numPr>
      <w:shd w:val="clear" w:color="FFFFFF" w:fill="FFFFFF"/>
      <w:spacing w:before="640" w:after="560" w:line="278" w:lineRule="auto"/>
      <w:jc w:val="center"/>
      <w:outlineLvl w:val="0"/>
    </w:pPr>
    <w:rPr>
      <w:rFonts w:ascii="黑体" w:hAnsi="Times New Roman" w:eastAsia="宋体" w:cs="Times New Roman"/>
      <w:b/>
      <w:sz w:val="32"/>
      <w:lang w:val="en-US" w:eastAsia="zh-CN" w:bidi="ar-SA"/>
    </w:rPr>
  </w:style>
  <w:style w:type="paragraph" w:customStyle="1" w:styleId="43">
    <w:name w:val="标准书脚_奇数页"/>
    <w:qFormat/>
    <w:uiPriority w:val="0"/>
    <w:pPr>
      <w:spacing w:before="120" w:after="160" w:line="278" w:lineRule="auto"/>
      <w:jc w:val="right"/>
    </w:pPr>
    <w:rPr>
      <w:rFonts w:ascii="Times New Roman" w:hAnsi="Times New Roman" w:eastAsia="宋体" w:cs="Times New Roman"/>
      <w:sz w:val="18"/>
      <w:lang w:val="en-US" w:eastAsia="zh-CN" w:bidi="ar-SA"/>
    </w:rPr>
  </w:style>
  <w:style w:type="character" w:customStyle="1" w:styleId="44">
    <w:name w:val="页眉 字符"/>
    <w:link w:val="17"/>
    <w:qFormat/>
    <w:uiPriority w:val="99"/>
    <w:rPr>
      <w:rFonts w:ascii="Times New Roman" w:hAnsi="Times New Roman" w:eastAsia="宋体" w:cs="Times New Roman"/>
      <w:sz w:val="18"/>
      <w:szCs w:val="18"/>
    </w:rPr>
  </w:style>
  <w:style w:type="character" w:customStyle="1" w:styleId="45">
    <w:name w:val="页脚 字符"/>
    <w:basedOn w:val="27"/>
    <w:link w:val="16"/>
    <w:qFormat/>
    <w:uiPriority w:val="99"/>
    <w:rPr>
      <w:sz w:val="18"/>
      <w:szCs w:val="18"/>
    </w:rPr>
  </w:style>
  <w:style w:type="paragraph" w:styleId="46">
    <w:name w:val="List Paragraph"/>
    <w:basedOn w:val="1"/>
    <w:unhideWhenUsed/>
    <w:qFormat/>
    <w:uiPriority w:val="34"/>
    <w:pPr>
      <w:ind w:firstLine="420"/>
    </w:pPr>
    <w:rPr>
      <w:szCs w:val="24"/>
    </w:rPr>
  </w:style>
  <w:style w:type="character" w:customStyle="1" w:styleId="47">
    <w:name w:val="未处理的提及1"/>
    <w:basedOn w:val="27"/>
    <w:semiHidden/>
    <w:unhideWhenUsed/>
    <w:qFormat/>
    <w:uiPriority w:val="99"/>
    <w:rPr>
      <w:color w:val="605E5C"/>
      <w:shd w:val="clear" w:color="auto" w:fill="E1DFDD"/>
    </w:rPr>
  </w:style>
  <w:style w:type="character" w:customStyle="1" w:styleId="48">
    <w:name w:val="批注框文本 字符"/>
    <w:basedOn w:val="27"/>
    <w:link w:val="15"/>
    <w:semiHidden/>
    <w:qFormat/>
    <w:uiPriority w:val="99"/>
    <w:rPr>
      <w:sz w:val="18"/>
      <w:szCs w:val="18"/>
    </w:rPr>
  </w:style>
  <w:style w:type="paragraph" w:customStyle="1" w:styleId="49">
    <w:name w:val="正文 + 宋体"/>
    <w:basedOn w:val="1"/>
    <w:qFormat/>
    <w:uiPriority w:val="0"/>
    <w:pPr>
      <w:ind w:firstLine="480"/>
    </w:pPr>
    <w:rPr>
      <w:rFonts w:ascii="宋体" w:hAnsi="宋体" w:cs="Times New Roman"/>
      <w:sz w:val="24"/>
      <w:szCs w:val="24"/>
    </w:rPr>
  </w:style>
  <w:style w:type="character" w:customStyle="1" w:styleId="50">
    <w:name w:val="fontstyle01"/>
    <w:basedOn w:val="27"/>
    <w:qFormat/>
    <w:uiPriority w:val="0"/>
    <w:rPr>
      <w:rFonts w:hint="eastAsia" w:ascii="仿宋" w:hAnsi="仿宋" w:eastAsia="仿宋"/>
      <w:color w:val="000000"/>
      <w:sz w:val="30"/>
      <w:szCs w:val="30"/>
    </w:rPr>
  </w:style>
  <w:style w:type="paragraph" w:customStyle="1" w:styleId="51">
    <w:name w:val="Default"/>
    <w:qFormat/>
    <w:uiPriority w:val="0"/>
    <w:pPr>
      <w:widowControl w:val="0"/>
      <w:autoSpaceDE w:val="0"/>
      <w:autoSpaceDN w:val="0"/>
      <w:adjustRightInd w:val="0"/>
      <w:spacing w:after="160" w:line="278" w:lineRule="auto"/>
    </w:pPr>
    <w:rPr>
      <w:rFonts w:ascii="方正小标宋简体" w:hAnsi="Calibri" w:eastAsia="方正小标宋简体" w:cs="方正小标宋简体"/>
      <w:color w:val="000000"/>
      <w:sz w:val="24"/>
      <w:szCs w:val="24"/>
      <w:lang w:val="en-US" w:eastAsia="zh-CN" w:bidi="ar-SA"/>
    </w:rPr>
  </w:style>
  <w:style w:type="character" w:customStyle="1" w:styleId="52">
    <w:name w:val="未处理的提及2"/>
    <w:basedOn w:val="27"/>
    <w:semiHidden/>
    <w:unhideWhenUsed/>
    <w:qFormat/>
    <w:uiPriority w:val="99"/>
    <w:rPr>
      <w:color w:val="605E5C"/>
      <w:shd w:val="clear" w:color="auto" w:fill="E1DFDD"/>
    </w:rPr>
  </w:style>
  <w:style w:type="character" w:customStyle="1" w:styleId="53">
    <w:name w:val="段 Char"/>
    <w:basedOn w:val="27"/>
    <w:link w:val="21"/>
    <w:qFormat/>
    <w:uiPriority w:val="0"/>
    <w:rPr>
      <w:rFonts w:ascii="宋体" w:hAnsi="Times New Roman" w:eastAsia="宋体" w:cs="Times New Roman"/>
      <w:kern w:val="0"/>
      <w:szCs w:val="20"/>
    </w:rPr>
  </w:style>
  <w:style w:type="character" w:customStyle="1" w:styleId="54">
    <w:name w:val="标题 2 字符"/>
    <w:link w:val="3"/>
    <w:qFormat/>
    <w:locked/>
    <w:uiPriority w:val="9"/>
    <w:rPr>
      <w:rFonts w:ascii="等线 Light" w:hAnsi="等线 Light" w:eastAsia="等线 Light" w:cs="宋体"/>
      <w:b/>
      <w:bCs/>
      <w:sz w:val="32"/>
      <w:szCs w:val="32"/>
    </w:rPr>
  </w:style>
  <w:style w:type="character" w:customStyle="1" w:styleId="55">
    <w:name w:val="标题 3 字符"/>
    <w:basedOn w:val="27"/>
    <w:link w:val="4"/>
    <w:qFormat/>
    <w:uiPriority w:val="9"/>
    <w:rPr>
      <w:rFonts w:eastAsia="黑体" w:asciiTheme="minorHAnsi" w:hAnsiTheme="minorHAnsi" w:cstheme="minorBidi"/>
      <w:b/>
      <w:bCs/>
      <w:kern w:val="2"/>
      <w:sz w:val="21"/>
      <w:szCs w:val="32"/>
    </w:rPr>
  </w:style>
  <w:style w:type="character" w:customStyle="1" w:styleId="56">
    <w:name w:val="标题 4 字符"/>
    <w:basedOn w:val="27"/>
    <w:link w:val="5"/>
    <w:qFormat/>
    <w:uiPriority w:val="9"/>
    <w:rPr>
      <w:rFonts w:cstheme="majorBidi"/>
      <w:bCs/>
      <w:kern w:val="2"/>
      <w:sz w:val="21"/>
      <w:szCs w:val="28"/>
    </w:rPr>
  </w:style>
  <w:style w:type="paragraph" w:customStyle="1" w:styleId="5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8">
    <w:name w:val="修订1"/>
    <w:hidden/>
    <w:semiHidden/>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59">
    <w:name w:val="批注文字 字符"/>
    <w:basedOn w:val="27"/>
    <w:link w:val="8"/>
    <w:semiHidden/>
    <w:qFormat/>
    <w:uiPriority w:val="99"/>
  </w:style>
  <w:style w:type="character" w:customStyle="1" w:styleId="60">
    <w:name w:val="批注主题 字符"/>
    <w:basedOn w:val="59"/>
    <w:link w:val="24"/>
    <w:semiHidden/>
    <w:qFormat/>
    <w:uiPriority w:val="99"/>
    <w:rPr>
      <w:b/>
      <w:bCs/>
    </w:rPr>
  </w:style>
  <w:style w:type="paragraph" w:customStyle="1" w:styleId="61">
    <w:name w:val="修订2"/>
    <w:hidden/>
    <w:semiHidden/>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62">
    <w:name w:val="修订3"/>
    <w:hidden/>
    <w:semiHidden/>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63">
    <w:name w:val="修订4"/>
    <w:hidden/>
    <w:semiHidden/>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64">
    <w:name w:val="修订5"/>
    <w:hidden/>
    <w:semiHidden/>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65">
    <w:name w:val="封面标准英文名称 Char"/>
    <w:link w:val="66"/>
    <w:qFormat/>
    <w:uiPriority w:val="0"/>
    <w:rPr>
      <w:sz w:val="28"/>
    </w:rPr>
  </w:style>
  <w:style w:type="paragraph" w:customStyle="1" w:styleId="66">
    <w:name w:val="封面标准英文名称"/>
    <w:link w:val="65"/>
    <w:qFormat/>
    <w:uiPriority w:val="0"/>
    <w:pPr>
      <w:widowControl w:val="0"/>
      <w:spacing w:before="370" w:after="160" w:line="400" w:lineRule="exact"/>
      <w:jc w:val="center"/>
    </w:pPr>
    <w:rPr>
      <w:rFonts w:asciiTheme="minorHAnsi" w:hAnsiTheme="minorHAnsi" w:eastAsiaTheme="minorEastAsia" w:cstheme="minorBidi"/>
      <w:sz w:val="28"/>
      <w:lang w:val="en-US" w:eastAsia="zh-CN" w:bidi="ar-SA"/>
    </w:rPr>
  </w:style>
  <w:style w:type="character" w:customStyle="1" w:styleId="67">
    <w:name w:val="标题 5 字符"/>
    <w:basedOn w:val="27"/>
    <w:link w:val="6"/>
    <w:qFormat/>
    <w:uiPriority w:val="9"/>
    <w:rPr>
      <w:rFonts w:cstheme="minorBidi"/>
      <w:bCs/>
      <w:kern w:val="2"/>
      <w:sz w:val="21"/>
      <w:szCs w:val="28"/>
    </w:rPr>
  </w:style>
  <w:style w:type="paragraph" w:customStyle="1" w:styleId="68">
    <w:name w:val="修订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69">
    <w:name w:val="图"/>
    <w:basedOn w:val="1"/>
    <w:link w:val="70"/>
    <w:qFormat/>
    <w:uiPriority w:val="0"/>
    <w:pPr>
      <w:spacing w:line="240" w:lineRule="auto"/>
      <w:ind w:firstLine="0" w:firstLineChars="0"/>
      <w:jc w:val="center"/>
    </w:pPr>
    <w:rPr>
      <w:color w:val="000000"/>
    </w:rPr>
  </w:style>
  <w:style w:type="character" w:customStyle="1" w:styleId="70">
    <w:name w:val="图 字符"/>
    <w:basedOn w:val="27"/>
    <w:link w:val="69"/>
    <w:qFormat/>
    <w:uiPriority w:val="0"/>
    <w:rPr>
      <w:rFonts w:eastAsia="宋体"/>
      <w:color w:val="000000"/>
      <w:kern w:val="2"/>
      <w:sz w:val="21"/>
      <w:szCs w:val="22"/>
    </w:rPr>
  </w:style>
  <w:style w:type="table" w:customStyle="1" w:styleId="71">
    <w:name w:val="网格型1"/>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2"/>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
    <w:name w:val="日期 字符"/>
    <w:basedOn w:val="27"/>
    <w:link w:val="13"/>
    <w:semiHidden/>
    <w:qFormat/>
    <w:uiPriority w:val="99"/>
    <w:rPr>
      <w:kern w:val="2"/>
      <w:sz w:val="21"/>
      <w:szCs w:val="22"/>
    </w:rPr>
  </w:style>
  <w:style w:type="paragraph" w:customStyle="1" w:styleId="74">
    <w:name w:val="修订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table" w:customStyle="1" w:styleId="75">
    <w:name w:val="网格型3"/>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4"/>
    <w:basedOn w:val="25"/>
    <w:qFormat/>
    <w:uiPriority w:val="39"/>
    <w:rPr>
      <w:rFonts w:ascii="等线" w:hAnsi="等线" w:eastAsia="等线"/>
      <w:kern w:val="2"/>
      <w:sz w:val="21"/>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5"/>
    <w:basedOn w:val="2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8">
    <w:name w:val="修订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79">
    <w:name w:val="修订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80">
    <w:name w:val="修订1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81">
    <w:name w:val="修订1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82">
    <w:name w:val="修订1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83">
    <w:name w:val="修订1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84">
    <w:name w:val="修订1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85">
    <w:name w:val="修订1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86">
    <w:name w:val="修订16"/>
    <w:hidden/>
    <w:unhideWhenUsed/>
    <w:qFormat/>
    <w:uiPriority w:val="99"/>
    <w:pPr>
      <w:spacing w:after="160" w:line="278" w:lineRule="auto"/>
    </w:pPr>
    <w:rPr>
      <w:rFonts w:eastAsia="宋体" w:asciiTheme="minorHAnsi" w:hAnsiTheme="minorHAnsi" w:cstheme="minorBidi"/>
      <w:kern w:val="2"/>
      <w:sz w:val="21"/>
      <w:szCs w:val="22"/>
      <w:lang w:val="en-US" w:eastAsia="zh-CN" w:bidi="ar-SA"/>
    </w:rPr>
  </w:style>
  <w:style w:type="paragraph" w:customStyle="1" w:styleId="87">
    <w:name w:val="修订17"/>
    <w:hidden/>
    <w:unhideWhenUsed/>
    <w:qFormat/>
    <w:uiPriority w:val="99"/>
    <w:pPr>
      <w:spacing w:after="160" w:line="278" w:lineRule="auto"/>
    </w:pPr>
    <w:rPr>
      <w:rFonts w:eastAsia="宋体" w:asciiTheme="minorHAnsi" w:hAnsiTheme="minorHAnsi" w:cstheme="minorBidi"/>
      <w:kern w:val="2"/>
      <w:sz w:val="21"/>
      <w:szCs w:val="22"/>
      <w:lang w:val="en-US" w:eastAsia="zh-CN" w:bidi="ar-SA"/>
    </w:rPr>
  </w:style>
  <w:style w:type="paragraph" w:customStyle="1" w:styleId="88">
    <w:name w:val="修订18"/>
    <w:hidden/>
    <w:unhideWhenUsed/>
    <w:qFormat/>
    <w:uiPriority w:val="99"/>
    <w:pPr>
      <w:spacing w:after="160" w:line="278" w:lineRule="auto"/>
    </w:pPr>
    <w:rPr>
      <w:rFonts w:eastAsia="宋体" w:asciiTheme="minorHAnsi" w:hAnsiTheme="minorHAnsi" w:cstheme="minorBidi"/>
      <w:kern w:val="2"/>
      <w:sz w:val="21"/>
      <w:szCs w:val="22"/>
      <w:lang w:val="en-US" w:eastAsia="zh-CN" w:bidi="ar-SA"/>
    </w:rPr>
  </w:style>
  <w:style w:type="paragraph" w:customStyle="1" w:styleId="89">
    <w:name w:val="附录"/>
    <w:basedOn w:val="1"/>
    <w:link w:val="90"/>
    <w:qFormat/>
    <w:uiPriority w:val="0"/>
    <w:pPr>
      <w:widowControl/>
      <w:spacing w:line="240" w:lineRule="auto"/>
      <w:ind w:firstLine="0" w:firstLineChars="0"/>
      <w:jc w:val="center"/>
    </w:pPr>
    <w:rPr>
      <w:rFonts w:eastAsia="黑体"/>
      <w:b/>
      <w:bCs/>
      <w:szCs w:val="36"/>
    </w:rPr>
  </w:style>
  <w:style w:type="character" w:customStyle="1" w:styleId="90">
    <w:name w:val="附录 字符"/>
    <w:basedOn w:val="27"/>
    <w:link w:val="89"/>
    <w:qFormat/>
    <w:uiPriority w:val="0"/>
    <w:rPr>
      <w:rFonts w:eastAsia="黑体" w:asciiTheme="minorHAnsi" w:hAnsiTheme="minorHAnsi" w:cstheme="minorBidi"/>
      <w:b/>
      <w:bCs/>
      <w:kern w:val="2"/>
      <w:sz w:val="21"/>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D860F7-4078-4088-A723-25ABFC7FA78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14501</Words>
  <Characters>17096</Characters>
  <Lines>312</Lines>
  <Paragraphs>87</Paragraphs>
  <TotalTime>167</TotalTime>
  <ScaleCrop>false</ScaleCrop>
  <LinksUpToDate>false</LinksUpToDate>
  <CharactersWithSpaces>18537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2025-07-31T11:59:00Z</dcterms:created>
  <dc:creator>fengxue</dc:creator>
  <cp:lastModifiedBy>珍惜</cp:lastModifiedBy>
  <cp:lastPrinted>2024-11-01T07:12:00Z</cp:lastPrinted>
  <dcterms:modified xsi:type="dcterms:W3CDTF">2025-08-14T14:31:36Z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AF07EBE5758A4A358D5E49A1F7A130C1_13</vt:lpwstr>
  </property>
  <property fmtid="{D5CDD505-2E9C-101B-9397-08002B2CF9AE}" pid="4" name="KSOTemplateDocerSaveRecord">
    <vt:lpwstr>eyJoZGlkIjoiODQyNGZiZDU3YTEwNzE5MGU0Y2UyOWE4Nzc3OTRlMmMiLCJ1c2VySWQiOiIyODE0NDQ2MjEifQ==</vt:lpwstr>
  </property>
</Properties>
</file>